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39B1E" w14:textId="560FEB8B" w:rsidR="00BF2C1B" w:rsidRDefault="00731C01">
      <w:pPr>
        <w:rPr>
          <w:rFonts w:ascii="Arial" w:hAnsi="Arial" w:cs="Arial"/>
          <w:b/>
          <w:bCs/>
          <w:sz w:val="28"/>
          <w:szCs w:val="28"/>
          <w:u w:val="single"/>
        </w:rPr>
      </w:pPr>
      <w:bookmarkStart w:id="0" w:name="_GoBack"/>
      <w:bookmarkEnd w:id="0"/>
      <w:r>
        <w:rPr>
          <w:rFonts w:ascii="Arial" w:hAnsi="Arial" w:cs="Arial"/>
          <w:b/>
          <w:bCs/>
          <w:noProof/>
          <w:sz w:val="28"/>
          <w:szCs w:val="28"/>
          <w:u w:val="single"/>
          <w:lang w:eastAsia="en-GB"/>
        </w:rPr>
        <w:drawing>
          <wp:anchor distT="0" distB="0" distL="114300" distR="114300" simplePos="0" relativeHeight="251658240" behindDoc="0" locked="0" layoutInCell="1" allowOverlap="1" wp14:anchorId="3BCC20F8" wp14:editId="2EEF276A">
            <wp:simplePos x="0" y="0"/>
            <wp:positionH relativeFrom="page">
              <wp:align>right</wp:align>
            </wp:positionH>
            <wp:positionV relativeFrom="paragraph">
              <wp:posOffset>-914400</wp:posOffset>
            </wp:positionV>
            <wp:extent cx="7553325" cy="10683946"/>
            <wp:effectExtent l="0" t="0" r="0" b="3175"/>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ell phon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53325" cy="10683946"/>
                    </a:xfrm>
                    <a:prstGeom prst="rect">
                      <a:avLst/>
                    </a:prstGeom>
                  </pic:spPr>
                </pic:pic>
              </a:graphicData>
            </a:graphic>
            <wp14:sizeRelH relativeFrom="margin">
              <wp14:pctWidth>0</wp14:pctWidth>
            </wp14:sizeRelH>
            <wp14:sizeRelV relativeFrom="margin">
              <wp14:pctHeight>0</wp14:pctHeight>
            </wp14:sizeRelV>
          </wp:anchor>
        </w:drawing>
      </w:r>
      <w:r w:rsidR="00BF2C1B">
        <w:rPr>
          <w:rFonts w:ascii="Arial" w:hAnsi="Arial" w:cs="Arial"/>
          <w:b/>
          <w:bCs/>
          <w:sz w:val="28"/>
          <w:szCs w:val="28"/>
          <w:u w:val="single"/>
        </w:rPr>
        <w:br w:type="page"/>
      </w:r>
    </w:p>
    <w:p w14:paraId="56C22361" w14:textId="7B5562FE" w:rsidR="00BF2C1B" w:rsidRDefault="00BF2C1B">
      <w:pPr>
        <w:rPr>
          <w:rFonts w:ascii="Arial" w:hAnsi="Arial" w:cs="Arial"/>
          <w:b/>
          <w:bCs/>
          <w:sz w:val="28"/>
          <w:szCs w:val="28"/>
          <w:u w:val="single"/>
        </w:rPr>
      </w:pPr>
      <w:r>
        <w:rPr>
          <w:rFonts w:ascii="Arial" w:hAnsi="Arial" w:cs="Arial"/>
          <w:b/>
          <w:bCs/>
          <w:sz w:val="28"/>
          <w:szCs w:val="28"/>
          <w:u w:val="single"/>
        </w:rPr>
        <w:lastRenderedPageBreak/>
        <w:br w:type="page"/>
      </w:r>
    </w:p>
    <w:p w14:paraId="50DCEBBA" w14:textId="7613FD2F" w:rsidR="00A248EB" w:rsidRPr="00A248EB" w:rsidRDefault="00A248EB" w:rsidP="00162404">
      <w:pPr>
        <w:spacing w:line="360" w:lineRule="auto"/>
        <w:ind w:firstLine="720"/>
        <w:rPr>
          <w:rFonts w:ascii="Arial" w:hAnsi="Arial" w:cs="Arial"/>
          <w:b/>
          <w:bCs/>
          <w:sz w:val="24"/>
          <w:szCs w:val="24"/>
        </w:rPr>
      </w:pPr>
      <w:r w:rsidRPr="00A248EB">
        <w:rPr>
          <w:rFonts w:ascii="Arial" w:hAnsi="Arial" w:cs="Arial"/>
          <w:b/>
          <w:bCs/>
          <w:sz w:val="24"/>
          <w:szCs w:val="24"/>
        </w:rPr>
        <w:lastRenderedPageBreak/>
        <w:t>In</w:t>
      </w:r>
      <w:r>
        <w:rPr>
          <w:rFonts w:ascii="Arial" w:hAnsi="Arial" w:cs="Arial"/>
          <w:b/>
          <w:bCs/>
          <w:sz w:val="24"/>
          <w:szCs w:val="24"/>
        </w:rPr>
        <w:t>troduction</w:t>
      </w:r>
    </w:p>
    <w:p w14:paraId="45056AD1" w14:textId="46EB4AEE" w:rsidR="00497268" w:rsidRPr="00497268" w:rsidRDefault="00497268" w:rsidP="0036105B">
      <w:pPr>
        <w:pStyle w:val="ListParagraph"/>
        <w:numPr>
          <w:ilvl w:val="0"/>
          <w:numId w:val="5"/>
        </w:numPr>
        <w:spacing w:line="360" w:lineRule="auto"/>
        <w:rPr>
          <w:rFonts w:ascii="Arial" w:hAnsi="Arial" w:cs="Arial"/>
          <w:sz w:val="24"/>
          <w:szCs w:val="24"/>
        </w:rPr>
      </w:pPr>
      <w:r w:rsidRPr="00497268">
        <w:rPr>
          <w:rFonts w:ascii="Arial" w:hAnsi="Arial" w:cs="Arial"/>
          <w:sz w:val="24"/>
          <w:szCs w:val="24"/>
        </w:rPr>
        <w:t>This representation to the Northampton Local Plan Part 2 2011 – 2029 Proposed Submission – Round 2 (henceforward Local Plan Part 2) is made on behalf of Great Houghton Parish Council.</w:t>
      </w:r>
    </w:p>
    <w:p w14:paraId="4BA66C25" w14:textId="77777777" w:rsidR="00497268" w:rsidRPr="00497268" w:rsidRDefault="00497268" w:rsidP="00497268">
      <w:pPr>
        <w:pStyle w:val="ListParagraph"/>
        <w:spacing w:line="360" w:lineRule="auto"/>
        <w:rPr>
          <w:rFonts w:ascii="Arial" w:hAnsi="Arial" w:cs="Arial"/>
          <w:b/>
          <w:bCs/>
          <w:sz w:val="24"/>
          <w:szCs w:val="24"/>
        </w:rPr>
      </w:pPr>
    </w:p>
    <w:p w14:paraId="1B2F3086" w14:textId="6FD9FA8B" w:rsidR="000D5F9A" w:rsidRPr="0036105B" w:rsidRDefault="006007AE" w:rsidP="0036105B">
      <w:pPr>
        <w:pStyle w:val="ListParagraph"/>
        <w:numPr>
          <w:ilvl w:val="0"/>
          <w:numId w:val="5"/>
        </w:numPr>
        <w:spacing w:line="360" w:lineRule="auto"/>
        <w:rPr>
          <w:rFonts w:ascii="Arial" w:hAnsi="Arial" w:cs="Arial"/>
          <w:b/>
          <w:bCs/>
          <w:sz w:val="24"/>
          <w:szCs w:val="24"/>
        </w:rPr>
      </w:pPr>
      <w:r w:rsidRPr="0036105B">
        <w:rPr>
          <w:rFonts w:ascii="Arial" w:hAnsi="Arial" w:cs="Arial"/>
          <w:sz w:val="24"/>
          <w:szCs w:val="24"/>
        </w:rPr>
        <w:t xml:space="preserve">The </w:t>
      </w:r>
      <w:r w:rsidR="00497268">
        <w:rPr>
          <w:rFonts w:ascii="Arial" w:hAnsi="Arial" w:cs="Arial"/>
          <w:sz w:val="24"/>
          <w:szCs w:val="24"/>
        </w:rPr>
        <w:t xml:space="preserve">Parish Council representation sets out below how the </w:t>
      </w:r>
      <w:r w:rsidRPr="0036105B">
        <w:rPr>
          <w:rFonts w:ascii="Arial" w:hAnsi="Arial" w:cs="Arial"/>
          <w:sz w:val="24"/>
          <w:szCs w:val="24"/>
        </w:rPr>
        <w:t>allocation of The Green at Great Houghton fails to meet the NPPF’s tests of s</w:t>
      </w:r>
      <w:r w:rsidR="004737F0" w:rsidRPr="0036105B">
        <w:rPr>
          <w:rFonts w:ascii="Arial" w:hAnsi="Arial" w:cs="Arial"/>
          <w:sz w:val="24"/>
          <w:szCs w:val="24"/>
        </w:rPr>
        <w:t>oundness</w:t>
      </w:r>
      <w:r w:rsidRPr="0036105B">
        <w:rPr>
          <w:rFonts w:ascii="Arial" w:hAnsi="Arial" w:cs="Arial"/>
          <w:sz w:val="24"/>
          <w:szCs w:val="24"/>
        </w:rPr>
        <w:t xml:space="preserve">. This </w:t>
      </w:r>
      <w:r w:rsidR="00497268">
        <w:rPr>
          <w:rFonts w:ascii="Arial" w:hAnsi="Arial" w:cs="Arial"/>
          <w:sz w:val="24"/>
          <w:szCs w:val="24"/>
        </w:rPr>
        <w:t>representation</w:t>
      </w:r>
      <w:r w:rsidRPr="0036105B">
        <w:rPr>
          <w:rFonts w:ascii="Arial" w:hAnsi="Arial" w:cs="Arial"/>
          <w:sz w:val="24"/>
          <w:szCs w:val="24"/>
        </w:rPr>
        <w:t xml:space="preserve"> show</w:t>
      </w:r>
      <w:r w:rsidR="00497268">
        <w:rPr>
          <w:rFonts w:ascii="Arial" w:hAnsi="Arial" w:cs="Arial"/>
          <w:sz w:val="24"/>
          <w:szCs w:val="24"/>
        </w:rPr>
        <w:t>s</w:t>
      </w:r>
      <w:r w:rsidRPr="0036105B">
        <w:rPr>
          <w:rFonts w:ascii="Arial" w:hAnsi="Arial" w:cs="Arial"/>
          <w:sz w:val="24"/>
          <w:szCs w:val="24"/>
        </w:rPr>
        <w:t xml:space="preserve"> that the allocation of this site is not positively prepared, justified, effective or consistent with national planning policy. </w:t>
      </w:r>
    </w:p>
    <w:p w14:paraId="2F8B5F30" w14:textId="77777777" w:rsidR="0093536C" w:rsidRPr="0036105B" w:rsidRDefault="0093536C" w:rsidP="0036105B">
      <w:pPr>
        <w:pStyle w:val="ListParagraph"/>
        <w:spacing w:line="360" w:lineRule="auto"/>
        <w:rPr>
          <w:rFonts w:ascii="Arial" w:hAnsi="Arial" w:cs="Arial"/>
          <w:b/>
          <w:bCs/>
          <w:sz w:val="24"/>
          <w:szCs w:val="24"/>
        </w:rPr>
      </w:pPr>
    </w:p>
    <w:p w14:paraId="2935D814" w14:textId="32D21C46" w:rsidR="004A78C2" w:rsidRDefault="00963E76" w:rsidP="0036105B">
      <w:pPr>
        <w:pStyle w:val="ListParagraph"/>
        <w:spacing w:line="360" w:lineRule="auto"/>
        <w:rPr>
          <w:rFonts w:ascii="Arial" w:hAnsi="Arial" w:cs="Arial"/>
          <w:sz w:val="24"/>
          <w:szCs w:val="24"/>
        </w:rPr>
      </w:pPr>
      <w:r w:rsidRPr="0036105B">
        <w:rPr>
          <w:rFonts w:ascii="Arial" w:hAnsi="Arial" w:cs="Arial"/>
          <w:b/>
          <w:bCs/>
          <w:sz w:val="24"/>
          <w:szCs w:val="24"/>
        </w:rPr>
        <w:t>Positively prepared</w:t>
      </w:r>
      <w:r w:rsidRPr="0036105B">
        <w:rPr>
          <w:rFonts w:ascii="Arial" w:hAnsi="Arial" w:cs="Arial"/>
          <w:sz w:val="24"/>
          <w:szCs w:val="24"/>
        </w:rPr>
        <w:t xml:space="preserve"> </w:t>
      </w:r>
    </w:p>
    <w:p w14:paraId="45910D0B" w14:textId="77777777" w:rsidR="00A248EB" w:rsidRPr="0036105B" w:rsidRDefault="00A248EB" w:rsidP="0036105B">
      <w:pPr>
        <w:pStyle w:val="ListParagraph"/>
        <w:spacing w:line="360" w:lineRule="auto"/>
        <w:rPr>
          <w:rFonts w:ascii="Arial" w:hAnsi="Arial" w:cs="Arial"/>
          <w:sz w:val="24"/>
          <w:szCs w:val="24"/>
        </w:rPr>
      </w:pPr>
    </w:p>
    <w:p w14:paraId="54217CF9" w14:textId="652FD79A" w:rsidR="00C138F4" w:rsidRPr="0036105B" w:rsidRDefault="004A78C2"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 xml:space="preserve">To be positively prepared Local Plan Part 2 should provide </w:t>
      </w:r>
      <w:r w:rsidRPr="0036105B">
        <w:rPr>
          <w:rFonts w:ascii="Arial" w:hAnsi="Arial" w:cs="Arial"/>
          <w:i/>
          <w:iCs/>
          <w:sz w:val="24"/>
          <w:szCs w:val="24"/>
        </w:rPr>
        <w:t>“</w:t>
      </w:r>
      <w:r w:rsidR="00C138F4" w:rsidRPr="0036105B">
        <w:rPr>
          <w:rFonts w:ascii="Arial" w:hAnsi="Arial" w:cs="Arial"/>
          <w:i/>
          <w:iCs/>
          <w:sz w:val="24"/>
          <w:szCs w:val="24"/>
        </w:rPr>
        <w:t>a strategy which, as a minimum, seeks to meet the area’s objectively assessed needs</w:t>
      </w:r>
      <w:r w:rsidR="00C138F4" w:rsidRPr="0036105B">
        <w:rPr>
          <w:rFonts w:ascii="Arial" w:hAnsi="Arial" w:cs="Arial"/>
          <w:i/>
          <w:iCs/>
          <w:sz w:val="24"/>
          <w:szCs w:val="24"/>
          <w:vertAlign w:val="superscript"/>
        </w:rPr>
        <w:t>19</w:t>
      </w:r>
      <w:r w:rsidR="00C138F4" w:rsidRPr="0036105B">
        <w:rPr>
          <w:rFonts w:ascii="Arial" w:hAnsi="Arial" w:cs="Arial"/>
          <w:i/>
          <w:iCs/>
          <w:sz w:val="24"/>
          <w:szCs w:val="24"/>
        </w:rPr>
        <w:t>; and is informed by agreements with other authorities, so that unmet need from neighbouring areas is accommodated where it is practical to do so and is consistent with achieving sustainable development</w:t>
      </w:r>
      <w:r w:rsidR="00DF6D19" w:rsidRPr="0036105B">
        <w:rPr>
          <w:rFonts w:ascii="Arial" w:hAnsi="Arial" w:cs="Arial"/>
          <w:i/>
          <w:iCs/>
          <w:sz w:val="24"/>
          <w:szCs w:val="24"/>
        </w:rPr>
        <w:t>.</w:t>
      </w:r>
      <w:r w:rsidRPr="0036105B">
        <w:rPr>
          <w:rFonts w:ascii="Arial" w:hAnsi="Arial" w:cs="Arial"/>
          <w:i/>
          <w:iCs/>
          <w:sz w:val="24"/>
          <w:szCs w:val="24"/>
        </w:rPr>
        <w:t>”</w:t>
      </w:r>
      <w:r w:rsidR="00DC506A" w:rsidRPr="0036105B">
        <w:rPr>
          <w:rFonts w:ascii="Arial" w:hAnsi="Arial" w:cs="Arial"/>
          <w:i/>
          <w:iCs/>
          <w:sz w:val="24"/>
          <w:szCs w:val="24"/>
        </w:rPr>
        <w:t xml:space="preserve"> </w:t>
      </w:r>
      <w:r w:rsidR="00DC506A" w:rsidRPr="0036105B">
        <w:rPr>
          <w:rFonts w:ascii="Arial" w:hAnsi="Arial" w:cs="Arial"/>
          <w:sz w:val="24"/>
          <w:szCs w:val="24"/>
        </w:rPr>
        <w:t>(NPPF, paragraph 35).</w:t>
      </w:r>
    </w:p>
    <w:p w14:paraId="776F2D1F" w14:textId="77777777" w:rsidR="0093536C" w:rsidRPr="0036105B" w:rsidRDefault="0093536C" w:rsidP="0036105B">
      <w:pPr>
        <w:pStyle w:val="ListParagraph"/>
        <w:spacing w:line="360" w:lineRule="auto"/>
        <w:rPr>
          <w:rFonts w:ascii="Arial" w:hAnsi="Arial" w:cs="Arial"/>
          <w:sz w:val="24"/>
          <w:szCs w:val="24"/>
        </w:rPr>
      </w:pPr>
    </w:p>
    <w:p w14:paraId="3B1C16BE" w14:textId="186D8B21" w:rsidR="00DF6D19" w:rsidRPr="0036105B" w:rsidRDefault="00DF6D19"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The L</w:t>
      </w:r>
      <w:r w:rsidR="008271D4" w:rsidRPr="0036105B">
        <w:rPr>
          <w:rFonts w:ascii="Arial" w:hAnsi="Arial" w:cs="Arial"/>
          <w:sz w:val="24"/>
          <w:szCs w:val="24"/>
        </w:rPr>
        <w:t>ocal</w:t>
      </w:r>
      <w:r w:rsidRPr="0036105B">
        <w:rPr>
          <w:rFonts w:ascii="Arial" w:hAnsi="Arial" w:cs="Arial"/>
          <w:sz w:val="24"/>
          <w:szCs w:val="24"/>
        </w:rPr>
        <w:t xml:space="preserve"> Part 2 strategy is flawed</w:t>
      </w:r>
      <w:r w:rsidR="00497268">
        <w:rPr>
          <w:rFonts w:ascii="Arial" w:hAnsi="Arial" w:cs="Arial"/>
          <w:sz w:val="24"/>
          <w:szCs w:val="24"/>
        </w:rPr>
        <w:t>,</w:t>
      </w:r>
      <w:r w:rsidRPr="0036105B">
        <w:rPr>
          <w:rFonts w:ascii="Arial" w:hAnsi="Arial" w:cs="Arial"/>
          <w:sz w:val="24"/>
          <w:szCs w:val="24"/>
        </w:rPr>
        <w:t xml:space="preserve"> it goes beyond </w:t>
      </w:r>
      <w:r w:rsidR="00B10A01" w:rsidRPr="0036105B">
        <w:rPr>
          <w:rFonts w:ascii="Arial" w:hAnsi="Arial" w:cs="Arial"/>
          <w:sz w:val="24"/>
          <w:szCs w:val="24"/>
        </w:rPr>
        <w:t>meeting Northampton’s minimum objectively assessed need (OAN) that is set out in the West Northamptonshire Joint Core Strategy (WNJCS). The WNJCS sets a minimum OAN of 18,</w:t>
      </w:r>
      <w:r w:rsidR="001A472C" w:rsidRPr="0036105B">
        <w:rPr>
          <w:rFonts w:ascii="Arial" w:hAnsi="Arial" w:cs="Arial"/>
          <w:sz w:val="24"/>
          <w:szCs w:val="24"/>
        </w:rPr>
        <w:t xml:space="preserve">870, 2011-2029 (WNJCS Policy S3). </w:t>
      </w:r>
    </w:p>
    <w:p w14:paraId="7D9440DF" w14:textId="77777777" w:rsidR="0093536C" w:rsidRPr="0036105B" w:rsidRDefault="0093536C" w:rsidP="0036105B">
      <w:pPr>
        <w:pStyle w:val="ListParagraph"/>
        <w:spacing w:line="360" w:lineRule="auto"/>
        <w:rPr>
          <w:rFonts w:ascii="Arial" w:hAnsi="Arial" w:cs="Arial"/>
          <w:sz w:val="24"/>
          <w:szCs w:val="24"/>
        </w:rPr>
      </w:pPr>
    </w:p>
    <w:p w14:paraId="08892006" w14:textId="3B89AB37" w:rsidR="001A472C" w:rsidRPr="0036105B" w:rsidRDefault="002A3D3D"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The Local Plan Part 2 allocates land for 3,807 new dwellings (Table 6, Local Plan Part 2), of which 3,394 are expected to be delivered over the plan period 2011-2029, 17.98% more than is required. This includes The Green, Great Houghton.</w:t>
      </w:r>
    </w:p>
    <w:p w14:paraId="2B7A2EBB" w14:textId="77777777" w:rsidR="0093536C" w:rsidRPr="0036105B" w:rsidRDefault="0093536C" w:rsidP="0036105B">
      <w:pPr>
        <w:pStyle w:val="ListParagraph"/>
        <w:spacing w:line="360" w:lineRule="auto"/>
        <w:rPr>
          <w:rFonts w:ascii="Arial" w:hAnsi="Arial" w:cs="Arial"/>
          <w:sz w:val="24"/>
          <w:szCs w:val="24"/>
        </w:rPr>
      </w:pPr>
    </w:p>
    <w:p w14:paraId="12F941DA" w14:textId="095F75EF" w:rsidR="00CB2FA2" w:rsidRPr="0036105B" w:rsidRDefault="00CB2FA2"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 xml:space="preserve">This significant oversupply is </w:t>
      </w:r>
      <w:r w:rsidR="00706E74" w:rsidRPr="0036105B">
        <w:rPr>
          <w:rFonts w:ascii="Arial" w:hAnsi="Arial" w:cs="Arial"/>
          <w:sz w:val="24"/>
          <w:szCs w:val="24"/>
        </w:rPr>
        <w:t>unnecessary,</w:t>
      </w:r>
      <w:r w:rsidR="002C2251" w:rsidRPr="0036105B">
        <w:rPr>
          <w:rFonts w:ascii="Arial" w:hAnsi="Arial" w:cs="Arial"/>
          <w:sz w:val="24"/>
          <w:szCs w:val="24"/>
        </w:rPr>
        <w:t xml:space="preserve"> being</w:t>
      </w:r>
      <w:r w:rsidR="00706E74" w:rsidRPr="0036105B">
        <w:rPr>
          <w:rFonts w:ascii="Arial" w:hAnsi="Arial" w:cs="Arial"/>
          <w:sz w:val="24"/>
          <w:szCs w:val="24"/>
        </w:rPr>
        <w:t xml:space="preserve"> unwarranted, not achievable and not sustainable.</w:t>
      </w:r>
    </w:p>
    <w:p w14:paraId="2E3BF591" w14:textId="77777777" w:rsidR="0093536C" w:rsidRPr="0036105B" w:rsidRDefault="0093536C" w:rsidP="0036105B">
      <w:pPr>
        <w:pStyle w:val="ListParagraph"/>
        <w:spacing w:line="360" w:lineRule="auto"/>
        <w:rPr>
          <w:rFonts w:ascii="Arial" w:hAnsi="Arial" w:cs="Arial"/>
          <w:sz w:val="24"/>
          <w:szCs w:val="24"/>
        </w:rPr>
      </w:pPr>
    </w:p>
    <w:p w14:paraId="4D2532AF" w14:textId="4D4887CD" w:rsidR="003B2C9D" w:rsidRPr="0036105B" w:rsidRDefault="00B33F0F"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Local Plan Part 2 and the Council’s supporting documents</w:t>
      </w:r>
      <w:r w:rsidR="000D492A" w:rsidRPr="0036105B">
        <w:rPr>
          <w:rFonts w:ascii="Arial" w:hAnsi="Arial" w:cs="Arial"/>
          <w:sz w:val="24"/>
          <w:szCs w:val="24"/>
        </w:rPr>
        <w:t xml:space="preserve"> (Housing Technical Paper </w:t>
      </w:r>
      <w:hyperlink r:id="rId9" w:history="1">
        <w:r w:rsidR="000D492A" w:rsidRPr="0036105B">
          <w:rPr>
            <w:rStyle w:val="Hyperlink"/>
            <w:rFonts w:ascii="Arial" w:hAnsi="Arial" w:cs="Arial"/>
            <w:sz w:val="24"/>
            <w:szCs w:val="24"/>
          </w:rPr>
          <w:t>https://www.northampton.gov.uk/downloads/file/12104/01-housing-</w:t>
        </w:r>
        <w:r w:rsidR="000D492A" w:rsidRPr="0036105B">
          <w:rPr>
            <w:rStyle w:val="Hyperlink"/>
            <w:rFonts w:ascii="Arial" w:hAnsi="Arial" w:cs="Arial"/>
            <w:sz w:val="24"/>
            <w:szCs w:val="24"/>
          </w:rPr>
          <w:lastRenderedPageBreak/>
          <w:t>technical-paper</w:t>
        </w:r>
      </w:hyperlink>
      <w:r w:rsidR="000D492A" w:rsidRPr="0036105B">
        <w:rPr>
          <w:rFonts w:ascii="Arial" w:hAnsi="Arial" w:cs="Arial"/>
          <w:sz w:val="24"/>
          <w:szCs w:val="24"/>
        </w:rPr>
        <w:t xml:space="preserve">; and 5 year Housing Land Supply </w:t>
      </w:r>
      <w:hyperlink r:id="rId10" w:history="1">
        <w:r w:rsidR="000D492A" w:rsidRPr="0036105B">
          <w:rPr>
            <w:rStyle w:val="Hyperlink"/>
            <w:rFonts w:ascii="Arial" w:hAnsi="Arial" w:cs="Arial"/>
            <w:sz w:val="24"/>
            <w:szCs w:val="24"/>
          </w:rPr>
          <w:t>https://www.northampton.gov.uk/downloads/file/12108/04-5yhls-nbc-2019</w:t>
        </w:r>
      </w:hyperlink>
      <w:r w:rsidR="000D492A" w:rsidRPr="0036105B">
        <w:rPr>
          <w:rFonts w:ascii="Arial" w:hAnsi="Arial" w:cs="Arial"/>
          <w:sz w:val="24"/>
          <w:szCs w:val="24"/>
        </w:rPr>
        <w:t>)</w:t>
      </w:r>
      <w:r w:rsidR="001233DD" w:rsidRPr="0036105B">
        <w:rPr>
          <w:rFonts w:ascii="Arial" w:hAnsi="Arial" w:cs="Arial"/>
          <w:sz w:val="24"/>
          <w:szCs w:val="24"/>
        </w:rPr>
        <w:t xml:space="preserve"> show a consistent and significant under-performance in delivering the WNJCS minimum target</w:t>
      </w:r>
      <w:r w:rsidR="007A0BC0" w:rsidRPr="0036105B">
        <w:rPr>
          <w:rFonts w:ascii="Arial" w:hAnsi="Arial" w:cs="Arial"/>
          <w:sz w:val="24"/>
          <w:szCs w:val="24"/>
        </w:rPr>
        <w:t>:</w:t>
      </w:r>
    </w:p>
    <w:p w14:paraId="728EB24A" w14:textId="77777777" w:rsidR="0093536C" w:rsidRPr="0036105B" w:rsidRDefault="0093536C" w:rsidP="0036105B">
      <w:pPr>
        <w:pStyle w:val="ListParagraph"/>
        <w:spacing w:line="360" w:lineRule="auto"/>
        <w:rPr>
          <w:rFonts w:ascii="Arial" w:hAnsi="Arial" w:cs="Arial"/>
          <w:sz w:val="24"/>
          <w:szCs w:val="24"/>
        </w:rPr>
      </w:pPr>
    </w:p>
    <w:p w14:paraId="21AECE88" w14:textId="3D7F225E" w:rsidR="007A0BC0" w:rsidRPr="0036105B" w:rsidRDefault="007A0BC0" w:rsidP="0036105B">
      <w:pPr>
        <w:pStyle w:val="ListParagraph"/>
        <w:spacing w:line="360" w:lineRule="auto"/>
        <w:ind w:left="1440"/>
        <w:rPr>
          <w:rFonts w:ascii="Arial" w:hAnsi="Arial" w:cs="Arial"/>
          <w:sz w:val="24"/>
          <w:szCs w:val="24"/>
        </w:rPr>
      </w:pPr>
      <w:r w:rsidRPr="0036105B">
        <w:rPr>
          <w:rFonts w:ascii="Arial" w:hAnsi="Arial" w:cs="Arial"/>
          <w:i/>
          <w:iCs/>
          <w:sz w:val="24"/>
          <w:szCs w:val="24"/>
        </w:rPr>
        <w:t>“By 1st April 2019, 5,727 dwellings had been delivered, against a JCS requirement to allocate sufficient sites (allowing for windfall) to accommodate 8,157 new dwellings in Northampton by that time. The number of dwellings delivered by 1st April 2019 falls some 2,430 units short of the delivery trajectory set out in the JCS (see Table 6).”</w:t>
      </w:r>
      <w:r w:rsidRPr="0036105B">
        <w:rPr>
          <w:rFonts w:ascii="Arial" w:hAnsi="Arial" w:cs="Arial"/>
          <w:sz w:val="24"/>
          <w:szCs w:val="24"/>
        </w:rPr>
        <w:t xml:space="preserve"> (Local Plan Part 2, paragraph 7.1).</w:t>
      </w:r>
    </w:p>
    <w:p w14:paraId="1DA5F239" w14:textId="77777777" w:rsidR="0093536C" w:rsidRPr="0036105B" w:rsidRDefault="0093536C" w:rsidP="0036105B">
      <w:pPr>
        <w:pStyle w:val="ListParagraph"/>
        <w:spacing w:line="360" w:lineRule="auto"/>
        <w:ind w:left="1440"/>
        <w:rPr>
          <w:rFonts w:ascii="Arial" w:hAnsi="Arial" w:cs="Arial"/>
          <w:sz w:val="24"/>
          <w:szCs w:val="24"/>
        </w:rPr>
      </w:pPr>
    </w:p>
    <w:p w14:paraId="12E6D150" w14:textId="4798F101" w:rsidR="009B37EE" w:rsidRPr="0036105B" w:rsidRDefault="009B37EE"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The Council acknowledge that the aspirational 1,000+ new dwellings expected per annum 2014/15 to 2023/24 has “not materialised” (Local Plan Part 2, paragraph 7.2) and that “delivery of new dwellings at the SUEs has been relatively slow</w:t>
      </w:r>
      <w:r w:rsidR="009C6231" w:rsidRPr="0036105B">
        <w:rPr>
          <w:rFonts w:ascii="Arial" w:hAnsi="Arial" w:cs="Arial"/>
          <w:sz w:val="24"/>
          <w:szCs w:val="24"/>
        </w:rPr>
        <w:t>” (</w:t>
      </w:r>
      <w:r w:rsidR="009C6231" w:rsidRPr="0036105B">
        <w:rPr>
          <w:rFonts w:ascii="Arial" w:hAnsi="Arial" w:cs="Arial"/>
          <w:i/>
          <w:iCs/>
          <w:sz w:val="24"/>
          <w:szCs w:val="24"/>
        </w:rPr>
        <w:t>op. cit.</w:t>
      </w:r>
      <w:r w:rsidR="009C6231" w:rsidRPr="0036105B">
        <w:rPr>
          <w:rFonts w:ascii="Arial" w:hAnsi="Arial" w:cs="Arial"/>
          <w:sz w:val="24"/>
          <w:szCs w:val="24"/>
        </w:rPr>
        <w:t>)</w:t>
      </w:r>
      <w:r w:rsidRPr="0036105B">
        <w:rPr>
          <w:rFonts w:ascii="Arial" w:hAnsi="Arial" w:cs="Arial"/>
          <w:i/>
          <w:iCs/>
          <w:sz w:val="24"/>
          <w:szCs w:val="24"/>
        </w:rPr>
        <w:t>.</w:t>
      </w:r>
      <w:r w:rsidR="009C6231" w:rsidRPr="0036105B">
        <w:rPr>
          <w:rFonts w:ascii="Arial" w:hAnsi="Arial" w:cs="Arial"/>
          <w:i/>
          <w:iCs/>
          <w:sz w:val="24"/>
          <w:szCs w:val="24"/>
        </w:rPr>
        <w:t xml:space="preserve"> </w:t>
      </w:r>
      <w:r w:rsidR="009C6231" w:rsidRPr="0036105B">
        <w:rPr>
          <w:rFonts w:ascii="Arial" w:hAnsi="Arial" w:cs="Arial"/>
          <w:sz w:val="24"/>
          <w:szCs w:val="24"/>
        </w:rPr>
        <w:t>These points are illustrated in Table 6 and Graph 1 of the Local Plan Part 2.</w:t>
      </w:r>
    </w:p>
    <w:p w14:paraId="516290E0" w14:textId="77777777" w:rsidR="0093536C" w:rsidRPr="0036105B" w:rsidRDefault="0093536C" w:rsidP="0036105B">
      <w:pPr>
        <w:pStyle w:val="ListParagraph"/>
        <w:spacing w:line="360" w:lineRule="auto"/>
        <w:rPr>
          <w:rFonts w:ascii="Arial" w:hAnsi="Arial" w:cs="Arial"/>
          <w:sz w:val="24"/>
          <w:szCs w:val="24"/>
        </w:rPr>
      </w:pPr>
    </w:p>
    <w:p w14:paraId="79C596B2" w14:textId="4D5CAF3A" w:rsidR="00CA4F22" w:rsidRPr="0036105B" w:rsidRDefault="00CA4F22"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The Council acknowledge that not all of the dwellings to be delivered by the SUEs, will be completed before 1st April 2029.</w:t>
      </w:r>
    </w:p>
    <w:p w14:paraId="77BB1357" w14:textId="77777777" w:rsidR="0093536C" w:rsidRPr="0036105B" w:rsidRDefault="0093536C" w:rsidP="0036105B">
      <w:pPr>
        <w:pStyle w:val="ListParagraph"/>
        <w:spacing w:line="360" w:lineRule="auto"/>
        <w:rPr>
          <w:rFonts w:ascii="Arial" w:hAnsi="Arial" w:cs="Arial"/>
          <w:sz w:val="24"/>
          <w:szCs w:val="24"/>
        </w:rPr>
      </w:pPr>
    </w:p>
    <w:p w14:paraId="0CA2D9EA" w14:textId="3446951B" w:rsidR="00CA4F22" w:rsidRPr="0036105B" w:rsidRDefault="00CA4F22"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 xml:space="preserve">The Council’s answer to this persistent under-delivery against the WNJCS target is to allocate even more land. The Council’s original housing trajectory was informed by </w:t>
      </w:r>
      <w:r w:rsidR="00497268">
        <w:rPr>
          <w:rFonts w:ascii="Arial" w:hAnsi="Arial" w:cs="Arial"/>
          <w:sz w:val="24"/>
          <w:szCs w:val="24"/>
        </w:rPr>
        <w:t xml:space="preserve">the </w:t>
      </w:r>
      <w:r w:rsidRPr="0036105B">
        <w:rPr>
          <w:rFonts w:ascii="Arial" w:hAnsi="Arial" w:cs="Arial"/>
          <w:sz w:val="24"/>
          <w:szCs w:val="24"/>
        </w:rPr>
        <w:t xml:space="preserve">economic conditions and intelligence at the time it was being progressed. On all reasonable assumptions those conditions and intelligence </w:t>
      </w:r>
      <w:r w:rsidR="00497268">
        <w:rPr>
          <w:rFonts w:ascii="Arial" w:hAnsi="Arial" w:cs="Arial"/>
          <w:sz w:val="24"/>
          <w:szCs w:val="24"/>
        </w:rPr>
        <w:t>are now out of date and no longer reliable</w:t>
      </w:r>
      <w:r w:rsidRPr="0036105B">
        <w:rPr>
          <w:rFonts w:ascii="Arial" w:hAnsi="Arial" w:cs="Arial"/>
          <w:sz w:val="24"/>
          <w:szCs w:val="24"/>
        </w:rPr>
        <w:t xml:space="preserve">. </w:t>
      </w:r>
    </w:p>
    <w:p w14:paraId="57A645BD" w14:textId="77777777" w:rsidR="00387A6F" w:rsidRPr="0036105B" w:rsidRDefault="00387A6F" w:rsidP="0036105B">
      <w:pPr>
        <w:pStyle w:val="ListParagraph"/>
        <w:spacing w:line="360" w:lineRule="auto"/>
        <w:rPr>
          <w:rFonts w:ascii="Arial" w:hAnsi="Arial" w:cs="Arial"/>
          <w:sz w:val="24"/>
          <w:szCs w:val="24"/>
        </w:rPr>
      </w:pPr>
    </w:p>
    <w:p w14:paraId="415012F8" w14:textId="1A973984" w:rsidR="00CA4F22" w:rsidRPr="0036105B" w:rsidRDefault="00CA4F22"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 xml:space="preserve">Based on the foregoing, the Council’s strategy is flawed, being unnecessary and unwarranted. Unnecessary because there is already sufficient land to meet the WNJCS target; unwarranted because the evidence in Northampton over the past shows that </w:t>
      </w:r>
      <w:r w:rsidR="003A7943" w:rsidRPr="0036105B">
        <w:rPr>
          <w:rFonts w:ascii="Arial" w:hAnsi="Arial" w:cs="Arial"/>
          <w:sz w:val="24"/>
          <w:szCs w:val="24"/>
        </w:rPr>
        <w:t>the housing trajectory has been over-stated</w:t>
      </w:r>
      <w:r w:rsidR="00497268">
        <w:rPr>
          <w:rFonts w:ascii="Arial" w:hAnsi="Arial" w:cs="Arial"/>
          <w:sz w:val="24"/>
          <w:szCs w:val="24"/>
        </w:rPr>
        <w:t>,</w:t>
      </w:r>
      <w:r w:rsidR="003A7943" w:rsidRPr="0036105B">
        <w:rPr>
          <w:rFonts w:ascii="Arial" w:hAnsi="Arial" w:cs="Arial"/>
          <w:sz w:val="24"/>
          <w:szCs w:val="24"/>
        </w:rPr>
        <w:t xml:space="preserve"> and </w:t>
      </w:r>
      <w:r w:rsidR="001B16B9">
        <w:rPr>
          <w:rFonts w:ascii="Arial" w:hAnsi="Arial" w:cs="Arial"/>
          <w:sz w:val="24"/>
          <w:szCs w:val="24"/>
        </w:rPr>
        <w:t>overly-</w:t>
      </w:r>
      <w:r w:rsidR="003A7943" w:rsidRPr="0036105B">
        <w:rPr>
          <w:rFonts w:ascii="Arial" w:hAnsi="Arial" w:cs="Arial"/>
          <w:sz w:val="24"/>
          <w:szCs w:val="24"/>
        </w:rPr>
        <w:t>aspirational when compared with economic intelligence</w:t>
      </w:r>
      <w:r w:rsidR="00497268">
        <w:rPr>
          <w:rFonts w:ascii="Arial" w:hAnsi="Arial" w:cs="Arial"/>
          <w:sz w:val="24"/>
          <w:szCs w:val="24"/>
        </w:rPr>
        <w:t xml:space="preserve">. This is </w:t>
      </w:r>
      <w:r w:rsidR="003A7943" w:rsidRPr="0036105B">
        <w:rPr>
          <w:rFonts w:ascii="Arial" w:hAnsi="Arial" w:cs="Arial"/>
          <w:sz w:val="24"/>
          <w:szCs w:val="24"/>
        </w:rPr>
        <w:t xml:space="preserve">particularly </w:t>
      </w:r>
      <w:r w:rsidR="00497268">
        <w:rPr>
          <w:rFonts w:ascii="Arial" w:hAnsi="Arial" w:cs="Arial"/>
          <w:sz w:val="24"/>
          <w:szCs w:val="24"/>
        </w:rPr>
        <w:t xml:space="preserve">the case </w:t>
      </w:r>
      <w:r w:rsidR="003A7943" w:rsidRPr="0036105B">
        <w:rPr>
          <w:rFonts w:ascii="Arial" w:hAnsi="Arial" w:cs="Arial"/>
          <w:sz w:val="24"/>
          <w:szCs w:val="24"/>
        </w:rPr>
        <w:t>with a larger site, such as The Green, Great Houghton</w:t>
      </w:r>
      <w:r w:rsidR="00497268">
        <w:rPr>
          <w:rFonts w:ascii="Arial" w:hAnsi="Arial" w:cs="Arial"/>
          <w:sz w:val="24"/>
          <w:szCs w:val="24"/>
        </w:rPr>
        <w:t xml:space="preserve">. The Council’s strategy </w:t>
      </w:r>
      <w:r w:rsidR="003A7943" w:rsidRPr="0036105B">
        <w:rPr>
          <w:rFonts w:ascii="Arial" w:hAnsi="Arial" w:cs="Arial"/>
          <w:sz w:val="24"/>
          <w:szCs w:val="24"/>
        </w:rPr>
        <w:t>fails to learn from past mistakes</w:t>
      </w:r>
      <w:r w:rsidR="00497268">
        <w:rPr>
          <w:rFonts w:ascii="Arial" w:hAnsi="Arial" w:cs="Arial"/>
          <w:sz w:val="24"/>
          <w:szCs w:val="24"/>
        </w:rPr>
        <w:t>,</w:t>
      </w:r>
      <w:r w:rsidR="003A7943" w:rsidRPr="0036105B">
        <w:rPr>
          <w:rFonts w:ascii="Arial" w:hAnsi="Arial" w:cs="Arial"/>
          <w:sz w:val="24"/>
          <w:szCs w:val="24"/>
        </w:rPr>
        <w:t xml:space="preserve"> that larger sites (The </w:t>
      </w:r>
      <w:r w:rsidR="003A7943" w:rsidRPr="0036105B">
        <w:rPr>
          <w:rFonts w:ascii="Arial" w:hAnsi="Arial" w:cs="Arial"/>
          <w:sz w:val="24"/>
          <w:szCs w:val="24"/>
        </w:rPr>
        <w:lastRenderedPageBreak/>
        <w:t xml:space="preserve">Green is comparable in size to the smaller Sustainable Urban Extensions) are more difficult to deliver and require considerable new infrastructure. The Green at Great Houghton, by adding to the housing land supply, will create further over-supply, competing with the other larger sites for new households and infrastructure resources. </w:t>
      </w:r>
      <w:r w:rsidR="000D67A9" w:rsidRPr="0036105B">
        <w:rPr>
          <w:rFonts w:ascii="Arial" w:hAnsi="Arial" w:cs="Arial"/>
          <w:sz w:val="24"/>
          <w:szCs w:val="24"/>
        </w:rPr>
        <w:t>The 2019 Infrastructure Delivery Plan set out that:</w:t>
      </w:r>
    </w:p>
    <w:p w14:paraId="256D2E67" w14:textId="77777777" w:rsidR="00387A6F" w:rsidRPr="0036105B" w:rsidRDefault="00387A6F" w:rsidP="0036105B">
      <w:pPr>
        <w:pStyle w:val="ListParagraph"/>
        <w:spacing w:line="360" w:lineRule="auto"/>
        <w:rPr>
          <w:rFonts w:ascii="Arial" w:hAnsi="Arial" w:cs="Arial"/>
          <w:sz w:val="24"/>
          <w:szCs w:val="24"/>
        </w:rPr>
      </w:pPr>
    </w:p>
    <w:p w14:paraId="6CB95155" w14:textId="21744C78" w:rsidR="000D67A9" w:rsidRPr="0036105B" w:rsidRDefault="000D67A9" w:rsidP="0036105B">
      <w:pPr>
        <w:pStyle w:val="ListParagraph"/>
        <w:spacing w:line="360" w:lineRule="auto"/>
        <w:ind w:left="1440"/>
        <w:rPr>
          <w:rFonts w:ascii="Arial" w:hAnsi="Arial" w:cs="Arial"/>
          <w:i/>
          <w:iCs/>
          <w:sz w:val="24"/>
          <w:szCs w:val="24"/>
        </w:rPr>
      </w:pPr>
      <w:r w:rsidRPr="0036105B">
        <w:rPr>
          <w:rFonts w:ascii="Arial" w:hAnsi="Arial" w:cs="Arial"/>
          <w:i/>
          <w:iCs/>
          <w:sz w:val="24"/>
          <w:szCs w:val="24"/>
        </w:rPr>
        <w:t>“5.2 Funding strategic infrastructure remains a challenge. Strategic infrastructure can be delivered in a number of ways, including public sector investment (such as Central Government funding for major projects) private sector development (including developer contributions to public sector projects) and the business plans of statutory undertakers. As Government funding continues to be limited and developer contributions are still often affected by viability issues, at least in the short term, funding strategic infrastructure will remain challenging. Nevertheless, evidence shows that Northamptonshire has experienced a steady recovery following the economic downturn of 2008 and despite the economic uncertainty following the Brexit vote is well placed to thrive.”</w:t>
      </w:r>
    </w:p>
    <w:p w14:paraId="05A6679F" w14:textId="77777777" w:rsidR="00800924" w:rsidRPr="0036105B" w:rsidRDefault="00800924" w:rsidP="0036105B">
      <w:pPr>
        <w:pStyle w:val="ListParagraph"/>
        <w:spacing w:line="360" w:lineRule="auto"/>
        <w:ind w:left="1440"/>
        <w:rPr>
          <w:rFonts w:ascii="Arial" w:hAnsi="Arial" w:cs="Arial"/>
          <w:i/>
          <w:iCs/>
          <w:sz w:val="24"/>
          <w:szCs w:val="24"/>
        </w:rPr>
      </w:pPr>
    </w:p>
    <w:p w14:paraId="3EF8D148" w14:textId="560251DD" w:rsidR="000D67A9" w:rsidRPr="0036105B" w:rsidRDefault="000D67A9"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Add additional large land allocations requiring additional resources</w:t>
      </w:r>
      <w:r w:rsidR="001B16B9">
        <w:rPr>
          <w:rFonts w:ascii="Arial" w:hAnsi="Arial" w:cs="Arial"/>
          <w:sz w:val="24"/>
          <w:szCs w:val="24"/>
        </w:rPr>
        <w:t>,</w:t>
      </w:r>
      <w:r w:rsidRPr="0036105B">
        <w:rPr>
          <w:rFonts w:ascii="Arial" w:hAnsi="Arial" w:cs="Arial"/>
          <w:sz w:val="24"/>
          <w:szCs w:val="24"/>
        </w:rPr>
        <w:t xml:space="preserve"> and Covid-19</w:t>
      </w:r>
      <w:r w:rsidR="001B16B9">
        <w:rPr>
          <w:rFonts w:ascii="Arial" w:hAnsi="Arial" w:cs="Arial"/>
          <w:sz w:val="24"/>
          <w:szCs w:val="24"/>
        </w:rPr>
        <w:t>,</w:t>
      </w:r>
      <w:r w:rsidRPr="0036105B">
        <w:rPr>
          <w:rFonts w:ascii="Arial" w:hAnsi="Arial" w:cs="Arial"/>
          <w:sz w:val="24"/>
          <w:szCs w:val="24"/>
        </w:rPr>
        <w:t xml:space="preserve"> and this position only gets worse.</w:t>
      </w:r>
    </w:p>
    <w:p w14:paraId="060B605A" w14:textId="77777777" w:rsidR="00800924" w:rsidRPr="0036105B" w:rsidRDefault="00800924" w:rsidP="0036105B">
      <w:pPr>
        <w:pStyle w:val="ListParagraph"/>
        <w:spacing w:line="360" w:lineRule="auto"/>
        <w:rPr>
          <w:rFonts w:ascii="Arial" w:hAnsi="Arial" w:cs="Arial"/>
          <w:sz w:val="24"/>
          <w:szCs w:val="24"/>
        </w:rPr>
      </w:pPr>
    </w:p>
    <w:p w14:paraId="1D64CA81" w14:textId="7D7C2034" w:rsidR="003A7943" w:rsidRPr="0036105B" w:rsidRDefault="003A7943"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Having said this the Parish Council do acknowledge that given there is such a clear distinction between performance on larger sites (poorer) and smaller sites (better) that Local Plan Part 2 could and should look to offset some of the under-delivery</w:t>
      </w:r>
      <w:r w:rsidR="0035296A" w:rsidRPr="0036105B">
        <w:rPr>
          <w:rFonts w:ascii="Arial" w:hAnsi="Arial" w:cs="Arial"/>
          <w:sz w:val="24"/>
          <w:szCs w:val="24"/>
        </w:rPr>
        <w:t xml:space="preserve"> against the WNJCS target</w:t>
      </w:r>
      <w:r w:rsidRPr="0036105B">
        <w:rPr>
          <w:rFonts w:ascii="Arial" w:hAnsi="Arial" w:cs="Arial"/>
          <w:sz w:val="24"/>
          <w:szCs w:val="24"/>
        </w:rPr>
        <w:t xml:space="preserve"> by identifying smaller sites.</w:t>
      </w:r>
    </w:p>
    <w:p w14:paraId="1DEC5DFC" w14:textId="77777777" w:rsidR="00800924" w:rsidRPr="0036105B" w:rsidRDefault="00800924" w:rsidP="0036105B">
      <w:pPr>
        <w:pStyle w:val="ListParagraph"/>
        <w:spacing w:line="360" w:lineRule="auto"/>
        <w:rPr>
          <w:rFonts w:ascii="Arial" w:hAnsi="Arial" w:cs="Arial"/>
          <w:sz w:val="24"/>
          <w:szCs w:val="24"/>
        </w:rPr>
      </w:pPr>
    </w:p>
    <w:p w14:paraId="2C94ED06" w14:textId="0FDE4007" w:rsidR="00277296" w:rsidRPr="0036105B" w:rsidRDefault="0035296A"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 xml:space="preserve">However, the identification of </w:t>
      </w:r>
      <w:r w:rsidR="008271D4" w:rsidRPr="0036105B">
        <w:rPr>
          <w:rFonts w:ascii="Arial" w:hAnsi="Arial" w:cs="Arial"/>
          <w:sz w:val="24"/>
          <w:szCs w:val="24"/>
        </w:rPr>
        <w:t xml:space="preserve">an additional </w:t>
      </w:r>
      <w:r w:rsidRPr="0036105B">
        <w:rPr>
          <w:rFonts w:ascii="Arial" w:hAnsi="Arial" w:cs="Arial"/>
          <w:sz w:val="24"/>
          <w:szCs w:val="24"/>
        </w:rPr>
        <w:t>larger site</w:t>
      </w:r>
      <w:r w:rsidR="008271D4" w:rsidRPr="0036105B">
        <w:rPr>
          <w:rFonts w:ascii="Arial" w:hAnsi="Arial" w:cs="Arial"/>
          <w:sz w:val="24"/>
          <w:szCs w:val="24"/>
        </w:rPr>
        <w:t xml:space="preserve"> at T</w:t>
      </w:r>
      <w:r w:rsidRPr="0036105B">
        <w:rPr>
          <w:rFonts w:ascii="Arial" w:hAnsi="Arial" w:cs="Arial"/>
          <w:sz w:val="24"/>
          <w:szCs w:val="24"/>
        </w:rPr>
        <w:t xml:space="preserve">he Green, is </w:t>
      </w:r>
      <w:r w:rsidR="008271D4" w:rsidRPr="0036105B">
        <w:rPr>
          <w:rFonts w:ascii="Arial" w:hAnsi="Arial" w:cs="Arial"/>
          <w:sz w:val="24"/>
          <w:szCs w:val="24"/>
        </w:rPr>
        <w:t xml:space="preserve">at the heart of the Council’s </w:t>
      </w:r>
      <w:r w:rsidRPr="0036105B">
        <w:rPr>
          <w:rFonts w:ascii="Arial" w:hAnsi="Arial" w:cs="Arial"/>
          <w:sz w:val="24"/>
          <w:szCs w:val="24"/>
        </w:rPr>
        <w:t xml:space="preserve">flawed strategy. </w:t>
      </w:r>
      <w:r w:rsidR="00252943" w:rsidRPr="0036105B">
        <w:rPr>
          <w:rFonts w:ascii="Arial" w:hAnsi="Arial" w:cs="Arial"/>
          <w:sz w:val="24"/>
          <w:szCs w:val="24"/>
        </w:rPr>
        <w:t xml:space="preserve">At a time when economic conditions are weaker and resources constrained the Council should be looking to support development on already identified sites, not by unleashing further supply. With its current allocations Local Plan Part 2 seeks to bring forward an additional supply of land of 17.98% against the WNJCS target. This is </w:t>
      </w:r>
      <w:r w:rsidR="00252943" w:rsidRPr="0036105B">
        <w:rPr>
          <w:rFonts w:ascii="Arial" w:hAnsi="Arial" w:cs="Arial"/>
          <w:sz w:val="24"/>
          <w:szCs w:val="24"/>
        </w:rPr>
        <w:lastRenderedPageBreak/>
        <w:t xml:space="preserve">unnecessary, the Council are already acknowledging persistent under-delivery; unwarranted in that it is not justified by the evidence; and not achievable. </w:t>
      </w:r>
    </w:p>
    <w:p w14:paraId="5C4AF7DA" w14:textId="77777777" w:rsidR="00800924" w:rsidRPr="0036105B" w:rsidRDefault="00800924" w:rsidP="0036105B">
      <w:pPr>
        <w:pStyle w:val="ListParagraph"/>
        <w:spacing w:line="360" w:lineRule="auto"/>
        <w:rPr>
          <w:rFonts w:ascii="Arial" w:hAnsi="Arial" w:cs="Arial"/>
          <w:sz w:val="24"/>
          <w:szCs w:val="24"/>
        </w:rPr>
      </w:pPr>
    </w:p>
    <w:p w14:paraId="4CFF9184" w14:textId="058045F7" w:rsidR="007B48DA" w:rsidRPr="0036105B" w:rsidRDefault="00990AF2"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The logic is flawed. What other organisation at a time of persistent under-delivery – 2,430 dwellings short of a target of 8,157 (1</w:t>
      </w:r>
      <w:r w:rsidRPr="0036105B">
        <w:rPr>
          <w:rFonts w:ascii="Arial" w:hAnsi="Arial" w:cs="Arial"/>
          <w:sz w:val="24"/>
          <w:szCs w:val="24"/>
          <w:vertAlign w:val="superscript"/>
        </w:rPr>
        <w:t>st</w:t>
      </w:r>
      <w:r w:rsidRPr="0036105B">
        <w:rPr>
          <w:rFonts w:ascii="Arial" w:hAnsi="Arial" w:cs="Arial"/>
          <w:sz w:val="24"/>
          <w:szCs w:val="24"/>
        </w:rPr>
        <w:t xml:space="preserve"> April 2019), </w:t>
      </w:r>
      <w:r w:rsidR="00277296" w:rsidRPr="0036105B">
        <w:rPr>
          <w:rFonts w:ascii="Arial" w:hAnsi="Arial" w:cs="Arial"/>
          <w:sz w:val="24"/>
          <w:szCs w:val="24"/>
        </w:rPr>
        <w:t xml:space="preserve">an </w:t>
      </w:r>
      <w:r w:rsidRPr="0036105B">
        <w:rPr>
          <w:rFonts w:ascii="Arial" w:hAnsi="Arial" w:cs="Arial"/>
          <w:sz w:val="24"/>
          <w:szCs w:val="24"/>
        </w:rPr>
        <w:t>under-performance of 29.79% would seek to increase the target by a further 17.98%</w:t>
      </w:r>
      <w:r w:rsidR="00497268">
        <w:rPr>
          <w:rFonts w:ascii="Arial" w:hAnsi="Arial" w:cs="Arial"/>
          <w:sz w:val="24"/>
          <w:szCs w:val="24"/>
        </w:rPr>
        <w:t>.</w:t>
      </w:r>
      <w:r w:rsidRPr="0036105B">
        <w:rPr>
          <w:rFonts w:ascii="Arial" w:hAnsi="Arial" w:cs="Arial"/>
          <w:sz w:val="24"/>
          <w:szCs w:val="24"/>
        </w:rPr>
        <w:t xml:space="preserve"> This level of over-provision will only lead to further under delivery, sites being allocated unnecessarily and, therefore, not sustainably.</w:t>
      </w:r>
      <w:r w:rsidR="00277296" w:rsidRPr="0036105B">
        <w:rPr>
          <w:rFonts w:ascii="Arial" w:hAnsi="Arial" w:cs="Arial"/>
          <w:sz w:val="24"/>
          <w:szCs w:val="24"/>
        </w:rPr>
        <w:t xml:space="preserve"> A much more measured approach is required, excluding the identification of further large sites and the identification, where possible, of sustainable small and medium sized sites that can be delivered in the short to medium term. In short</w:t>
      </w:r>
      <w:r w:rsidR="00497268">
        <w:rPr>
          <w:rFonts w:ascii="Arial" w:hAnsi="Arial" w:cs="Arial"/>
          <w:sz w:val="24"/>
          <w:szCs w:val="24"/>
        </w:rPr>
        <w:t>,</w:t>
      </w:r>
      <w:r w:rsidR="00277296" w:rsidRPr="0036105B">
        <w:rPr>
          <w:rFonts w:ascii="Arial" w:hAnsi="Arial" w:cs="Arial"/>
          <w:sz w:val="24"/>
          <w:szCs w:val="24"/>
        </w:rPr>
        <w:t xml:space="preserve"> the Council are merely repeating past mistakes. On their own evidence larger sites have not achieved what was expected of them. But to make matters worse by allocating almost 25% of the additional housing land at one site The Green. Excluding The Green in favour of smaller sites would still lead to over-provision of 2,594 or 13.75% when compared against WNJCS target.</w:t>
      </w:r>
    </w:p>
    <w:p w14:paraId="547B2BB7" w14:textId="77777777" w:rsidR="00800924" w:rsidRPr="0036105B" w:rsidRDefault="00800924" w:rsidP="0036105B">
      <w:pPr>
        <w:pStyle w:val="ListParagraph"/>
        <w:spacing w:line="360" w:lineRule="auto"/>
        <w:rPr>
          <w:rFonts w:ascii="Arial" w:hAnsi="Arial" w:cs="Arial"/>
          <w:sz w:val="24"/>
          <w:szCs w:val="24"/>
        </w:rPr>
      </w:pPr>
    </w:p>
    <w:p w14:paraId="6EA969CE" w14:textId="02C89DBD" w:rsidR="003A7943" w:rsidRPr="0036105B" w:rsidRDefault="001C0E33"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On a practical level it is argued that The Green</w:t>
      </w:r>
      <w:r w:rsidR="001B16B9">
        <w:rPr>
          <w:rFonts w:ascii="Arial" w:hAnsi="Arial" w:cs="Arial"/>
          <w:sz w:val="24"/>
          <w:szCs w:val="24"/>
        </w:rPr>
        <w:t>,</w:t>
      </w:r>
      <w:r w:rsidRPr="0036105B">
        <w:rPr>
          <w:rFonts w:ascii="Arial" w:hAnsi="Arial" w:cs="Arial"/>
          <w:sz w:val="24"/>
          <w:szCs w:val="24"/>
        </w:rPr>
        <w:t xml:space="preserve"> with the timescales involved</w:t>
      </w:r>
      <w:r w:rsidR="001B16B9">
        <w:rPr>
          <w:rFonts w:ascii="Arial" w:hAnsi="Arial" w:cs="Arial"/>
          <w:sz w:val="24"/>
          <w:szCs w:val="24"/>
        </w:rPr>
        <w:t xml:space="preserve">, </w:t>
      </w:r>
      <w:r w:rsidRPr="0036105B">
        <w:rPr>
          <w:rFonts w:ascii="Arial" w:hAnsi="Arial" w:cs="Arial"/>
          <w:sz w:val="24"/>
          <w:szCs w:val="24"/>
        </w:rPr>
        <w:t xml:space="preserve">and the need for infrastructure resources will not be in a position to enhance delivery. </w:t>
      </w:r>
      <w:r w:rsidR="0079113E" w:rsidRPr="0036105B">
        <w:rPr>
          <w:rFonts w:ascii="Arial" w:hAnsi="Arial" w:cs="Arial"/>
          <w:sz w:val="24"/>
          <w:szCs w:val="24"/>
        </w:rPr>
        <w:t>Indeed,</w:t>
      </w:r>
      <w:r w:rsidRPr="0036105B">
        <w:rPr>
          <w:rFonts w:ascii="Arial" w:hAnsi="Arial" w:cs="Arial"/>
          <w:sz w:val="24"/>
          <w:szCs w:val="24"/>
        </w:rPr>
        <w:t xml:space="preserve"> it will increase the target and fail to deliver</w:t>
      </w:r>
      <w:r w:rsidR="00252943" w:rsidRPr="0036105B">
        <w:rPr>
          <w:rFonts w:ascii="Arial" w:hAnsi="Arial" w:cs="Arial"/>
          <w:sz w:val="24"/>
          <w:szCs w:val="24"/>
        </w:rPr>
        <w:t xml:space="preserve">. </w:t>
      </w:r>
      <w:r w:rsidR="0035296A" w:rsidRPr="0036105B">
        <w:rPr>
          <w:rFonts w:ascii="Arial" w:hAnsi="Arial" w:cs="Arial"/>
          <w:sz w:val="24"/>
          <w:szCs w:val="24"/>
        </w:rPr>
        <w:t xml:space="preserve">Appendix A, page 179 of Local Plan Part 2 </w:t>
      </w:r>
      <w:r w:rsidR="00DC45E1" w:rsidRPr="0036105B">
        <w:rPr>
          <w:rFonts w:ascii="Arial" w:hAnsi="Arial" w:cs="Arial"/>
          <w:sz w:val="24"/>
          <w:szCs w:val="24"/>
        </w:rPr>
        <w:t>assumes The Green will deliver 800 news units 2018/19 to 2028/29.</w:t>
      </w:r>
      <w:r w:rsidR="007B48DA" w:rsidRPr="0036105B">
        <w:rPr>
          <w:rFonts w:ascii="Arial" w:hAnsi="Arial" w:cs="Arial"/>
          <w:sz w:val="24"/>
          <w:szCs w:val="24"/>
        </w:rPr>
        <w:t xml:space="preserve"> This is not achievable. We are already in the second of those years (</w:t>
      </w:r>
      <w:r w:rsidR="001B16B9">
        <w:rPr>
          <w:rFonts w:ascii="Arial" w:hAnsi="Arial" w:cs="Arial"/>
          <w:sz w:val="24"/>
          <w:szCs w:val="24"/>
        </w:rPr>
        <w:t>by which time, the Council</w:t>
      </w:r>
      <w:r w:rsidR="007B48DA" w:rsidRPr="0036105B">
        <w:rPr>
          <w:rFonts w:ascii="Arial" w:hAnsi="Arial" w:cs="Arial"/>
          <w:sz w:val="24"/>
          <w:szCs w:val="24"/>
        </w:rPr>
        <w:t xml:space="preserve"> assumes 50 units completed) and there is no prospect of a start on site in the medium term. Allocating land at The Green will not solve the under-delivery against target in Northa</w:t>
      </w:r>
      <w:r w:rsidR="00F7640E" w:rsidRPr="0036105B">
        <w:rPr>
          <w:rFonts w:ascii="Arial" w:hAnsi="Arial" w:cs="Arial"/>
          <w:sz w:val="24"/>
          <w:szCs w:val="24"/>
        </w:rPr>
        <w:t>m</w:t>
      </w:r>
      <w:r w:rsidR="007B48DA" w:rsidRPr="0036105B">
        <w:rPr>
          <w:rFonts w:ascii="Arial" w:hAnsi="Arial" w:cs="Arial"/>
          <w:sz w:val="24"/>
          <w:szCs w:val="24"/>
        </w:rPr>
        <w:t>pton.</w:t>
      </w:r>
      <w:r w:rsidR="00F7640E" w:rsidRPr="0036105B">
        <w:rPr>
          <w:rFonts w:ascii="Arial" w:hAnsi="Arial" w:cs="Arial"/>
          <w:sz w:val="24"/>
          <w:szCs w:val="24"/>
        </w:rPr>
        <w:t xml:space="preserve"> </w:t>
      </w:r>
      <w:r w:rsidR="0079113E" w:rsidRPr="0036105B">
        <w:rPr>
          <w:rFonts w:ascii="Arial" w:hAnsi="Arial" w:cs="Arial"/>
          <w:sz w:val="24"/>
          <w:szCs w:val="24"/>
        </w:rPr>
        <w:t>Indeed,</w:t>
      </w:r>
      <w:r w:rsidR="00F7640E" w:rsidRPr="0036105B">
        <w:rPr>
          <w:rFonts w:ascii="Arial" w:hAnsi="Arial" w:cs="Arial"/>
          <w:sz w:val="24"/>
          <w:szCs w:val="24"/>
        </w:rPr>
        <w:t xml:space="preserve"> it will make things worse by adding additional competition to the existing pool of large sites for infrastructure and other resources. The Council should address the under-delivery issue by concentrating resources on delivering the existing SUEs and facilitating the development of smaller sites.</w:t>
      </w:r>
    </w:p>
    <w:p w14:paraId="4F35A28F" w14:textId="65580997" w:rsidR="00800924" w:rsidRDefault="00800924" w:rsidP="0036105B">
      <w:pPr>
        <w:pStyle w:val="ListParagraph"/>
        <w:spacing w:line="360" w:lineRule="auto"/>
        <w:rPr>
          <w:rFonts w:ascii="Arial" w:hAnsi="Arial" w:cs="Arial"/>
          <w:sz w:val="24"/>
          <w:szCs w:val="24"/>
        </w:rPr>
      </w:pPr>
    </w:p>
    <w:p w14:paraId="7D74CCF5" w14:textId="04E7C174" w:rsidR="001B16B9" w:rsidRDefault="001B16B9" w:rsidP="0036105B">
      <w:pPr>
        <w:pStyle w:val="ListParagraph"/>
        <w:spacing w:line="360" w:lineRule="auto"/>
        <w:rPr>
          <w:rFonts w:ascii="Arial" w:hAnsi="Arial" w:cs="Arial"/>
          <w:sz w:val="24"/>
          <w:szCs w:val="24"/>
        </w:rPr>
      </w:pPr>
    </w:p>
    <w:p w14:paraId="49F528BA" w14:textId="5D283A24" w:rsidR="001B16B9" w:rsidRDefault="001B16B9" w:rsidP="0036105B">
      <w:pPr>
        <w:pStyle w:val="ListParagraph"/>
        <w:spacing w:line="360" w:lineRule="auto"/>
        <w:rPr>
          <w:rFonts w:ascii="Arial" w:hAnsi="Arial" w:cs="Arial"/>
          <w:sz w:val="24"/>
          <w:szCs w:val="24"/>
        </w:rPr>
      </w:pPr>
    </w:p>
    <w:p w14:paraId="6B4B575C" w14:textId="77777777" w:rsidR="001B16B9" w:rsidRDefault="001B16B9" w:rsidP="0036105B">
      <w:pPr>
        <w:pStyle w:val="ListParagraph"/>
        <w:spacing w:line="360" w:lineRule="auto"/>
        <w:rPr>
          <w:rFonts w:ascii="Arial" w:hAnsi="Arial" w:cs="Arial"/>
          <w:sz w:val="24"/>
          <w:szCs w:val="24"/>
        </w:rPr>
      </w:pPr>
    </w:p>
    <w:p w14:paraId="5AFF9E15" w14:textId="57AA28D5" w:rsidR="004A78C2" w:rsidRPr="0036105B" w:rsidRDefault="003B2C9D" w:rsidP="0036105B">
      <w:pPr>
        <w:pStyle w:val="ListParagraph"/>
        <w:spacing w:line="360" w:lineRule="auto"/>
        <w:rPr>
          <w:rFonts w:ascii="Arial" w:hAnsi="Arial" w:cs="Arial"/>
          <w:b/>
          <w:bCs/>
          <w:sz w:val="24"/>
          <w:szCs w:val="24"/>
        </w:rPr>
      </w:pPr>
      <w:r w:rsidRPr="0036105B">
        <w:rPr>
          <w:rFonts w:ascii="Arial" w:hAnsi="Arial" w:cs="Arial"/>
          <w:b/>
          <w:bCs/>
          <w:sz w:val="24"/>
          <w:szCs w:val="24"/>
        </w:rPr>
        <w:t>Not Justified</w:t>
      </w:r>
    </w:p>
    <w:p w14:paraId="35ED47E6" w14:textId="77777777" w:rsidR="00800924" w:rsidRPr="0036105B" w:rsidRDefault="00800924" w:rsidP="0036105B">
      <w:pPr>
        <w:pStyle w:val="ListParagraph"/>
        <w:spacing w:line="360" w:lineRule="auto"/>
        <w:rPr>
          <w:rFonts w:ascii="Arial" w:hAnsi="Arial" w:cs="Arial"/>
          <w:b/>
          <w:bCs/>
          <w:sz w:val="24"/>
          <w:szCs w:val="24"/>
        </w:rPr>
      </w:pPr>
    </w:p>
    <w:p w14:paraId="473296A6" w14:textId="6AEC1832" w:rsidR="004737F0" w:rsidRPr="0036105B" w:rsidRDefault="004A78C2"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As set out above the Parish Council do not consider Local Plan Part 2 is putting forward “</w:t>
      </w:r>
      <w:r w:rsidR="00C138F4" w:rsidRPr="0036105B">
        <w:rPr>
          <w:rFonts w:ascii="Arial" w:hAnsi="Arial" w:cs="Arial"/>
          <w:sz w:val="24"/>
          <w:szCs w:val="24"/>
        </w:rPr>
        <w:t>an appropriate strategy, taking into account the reasonable alternatives, and based on proportionate evidence</w:t>
      </w:r>
      <w:r w:rsidRPr="0036105B">
        <w:rPr>
          <w:rFonts w:ascii="Arial" w:hAnsi="Arial" w:cs="Arial"/>
          <w:sz w:val="24"/>
          <w:szCs w:val="24"/>
        </w:rPr>
        <w:t xml:space="preserve">” (NPPF, paragraph </w:t>
      </w:r>
      <w:r w:rsidR="00DC506A" w:rsidRPr="0036105B">
        <w:rPr>
          <w:rFonts w:ascii="Arial" w:hAnsi="Arial" w:cs="Arial"/>
          <w:sz w:val="24"/>
          <w:szCs w:val="24"/>
        </w:rPr>
        <w:t>35).</w:t>
      </w:r>
      <w:r w:rsidR="00CE7B3D" w:rsidRPr="0036105B">
        <w:rPr>
          <w:rFonts w:ascii="Arial" w:hAnsi="Arial" w:cs="Arial"/>
          <w:sz w:val="24"/>
          <w:szCs w:val="24"/>
        </w:rPr>
        <w:t xml:space="preserve"> </w:t>
      </w:r>
    </w:p>
    <w:p w14:paraId="7E69279A" w14:textId="77777777" w:rsidR="00800924" w:rsidRPr="0036105B" w:rsidRDefault="00800924" w:rsidP="0036105B">
      <w:pPr>
        <w:pStyle w:val="ListParagraph"/>
        <w:spacing w:line="360" w:lineRule="auto"/>
        <w:rPr>
          <w:rFonts w:ascii="Arial" w:hAnsi="Arial" w:cs="Arial"/>
          <w:sz w:val="24"/>
          <w:szCs w:val="24"/>
        </w:rPr>
      </w:pPr>
    </w:p>
    <w:p w14:paraId="220BAC27" w14:textId="23213F73" w:rsidR="00CE7B3D" w:rsidRPr="0036105B" w:rsidRDefault="00CE7B3D"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The continued over-reliance on a further larger site (The Green) and the existence, within Local Plan Part 2 itself, of sufficient smaller sites to increase supply, if not delivery, is a reasonable alternative.</w:t>
      </w:r>
    </w:p>
    <w:p w14:paraId="4D8BE609" w14:textId="77777777" w:rsidR="00800924" w:rsidRPr="0036105B" w:rsidRDefault="00800924" w:rsidP="0036105B">
      <w:pPr>
        <w:pStyle w:val="ListParagraph"/>
        <w:spacing w:line="360" w:lineRule="auto"/>
        <w:rPr>
          <w:rFonts w:ascii="Arial" w:hAnsi="Arial" w:cs="Arial"/>
          <w:sz w:val="24"/>
          <w:szCs w:val="24"/>
        </w:rPr>
      </w:pPr>
    </w:p>
    <w:p w14:paraId="79811DCD" w14:textId="0B04B726" w:rsidR="00CE7B3D" w:rsidRPr="0036105B" w:rsidRDefault="00CE7B3D" w:rsidP="0036105B">
      <w:pPr>
        <w:pStyle w:val="ListParagraph"/>
        <w:numPr>
          <w:ilvl w:val="0"/>
          <w:numId w:val="5"/>
        </w:numPr>
        <w:spacing w:line="360" w:lineRule="auto"/>
        <w:rPr>
          <w:rFonts w:ascii="Arial" w:hAnsi="Arial" w:cs="Arial"/>
          <w:b/>
          <w:bCs/>
          <w:sz w:val="24"/>
          <w:szCs w:val="24"/>
        </w:rPr>
      </w:pPr>
      <w:r w:rsidRPr="0036105B">
        <w:rPr>
          <w:rFonts w:ascii="Arial" w:hAnsi="Arial" w:cs="Arial"/>
          <w:sz w:val="24"/>
          <w:szCs w:val="24"/>
        </w:rPr>
        <w:t>In addition, development of The Green is not justified for the following detailed reasons.</w:t>
      </w:r>
    </w:p>
    <w:p w14:paraId="4EF2D20B" w14:textId="77777777" w:rsidR="00800924" w:rsidRPr="0036105B" w:rsidRDefault="00800924" w:rsidP="0036105B">
      <w:pPr>
        <w:pStyle w:val="ListParagraph"/>
        <w:spacing w:line="360" w:lineRule="auto"/>
        <w:rPr>
          <w:rFonts w:ascii="Arial" w:hAnsi="Arial" w:cs="Arial"/>
          <w:b/>
          <w:bCs/>
          <w:sz w:val="24"/>
          <w:szCs w:val="24"/>
        </w:rPr>
      </w:pPr>
    </w:p>
    <w:p w14:paraId="4A702581" w14:textId="5470D466" w:rsidR="00FB4D42" w:rsidRPr="007B5860" w:rsidRDefault="00FB4D42" w:rsidP="0036105B">
      <w:pPr>
        <w:pStyle w:val="ListParagraph"/>
        <w:spacing w:line="360" w:lineRule="auto"/>
        <w:rPr>
          <w:rFonts w:ascii="Arial" w:hAnsi="Arial" w:cs="Arial"/>
          <w:sz w:val="24"/>
          <w:szCs w:val="24"/>
          <w:u w:val="single"/>
        </w:rPr>
      </w:pPr>
      <w:r w:rsidRPr="007B5860">
        <w:rPr>
          <w:rFonts w:ascii="Arial" w:hAnsi="Arial" w:cs="Arial"/>
          <w:sz w:val="24"/>
          <w:szCs w:val="24"/>
          <w:u w:val="single"/>
        </w:rPr>
        <w:t xml:space="preserve">Traffic </w:t>
      </w:r>
    </w:p>
    <w:p w14:paraId="0791362F" w14:textId="77777777" w:rsidR="00800924" w:rsidRPr="0036105B" w:rsidRDefault="00800924" w:rsidP="0036105B">
      <w:pPr>
        <w:pStyle w:val="ListParagraph"/>
        <w:spacing w:line="360" w:lineRule="auto"/>
        <w:rPr>
          <w:rFonts w:ascii="Arial" w:hAnsi="Arial" w:cs="Arial"/>
          <w:b/>
          <w:bCs/>
          <w:sz w:val="24"/>
          <w:szCs w:val="24"/>
          <w:u w:val="single"/>
        </w:rPr>
      </w:pPr>
    </w:p>
    <w:p w14:paraId="4F15C223" w14:textId="57CE1A0D" w:rsidR="00FB23E3" w:rsidRPr="0036105B" w:rsidRDefault="00FB23E3"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Northamptonshire County Council in the</w:t>
      </w:r>
      <w:r w:rsidR="008E12AD">
        <w:rPr>
          <w:rFonts w:ascii="Arial" w:hAnsi="Arial" w:cs="Arial"/>
          <w:sz w:val="24"/>
          <w:szCs w:val="24"/>
        </w:rPr>
        <w:t>ir</w:t>
      </w:r>
      <w:r w:rsidRPr="0036105B">
        <w:rPr>
          <w:rFonts w:ascii="Arial" w:hAnsi="Arial" w:cs="Arial"/>
          <w:sz w:val="24"/>
          <w:szCs w:val="24"/>
        </w:rPr>
        <w:t xml:space="preserve"> letter dated 3</w:t>
      </w:r>
      <w:r w:rsidRPr="0036105B">
        <w:rPr>
          <w:rFonts w:ascii="Arial" w:hAnsi="Arial" w:cs="Arial"/>
          <w:sz w:val="24"/>
          <w:szCs w:val="24"/>
          <w:vertAlign w:val="superscript"/>
        </w:rPr>
        <w:t>rd</w:t>
      </w:r>
      <w:r w:rsidRPr="0036105B">
        <w:rPr>
          <w:rFonts w:ascii="Arial" w:hAnsi="Arial" w:cs="Arial"/>
          <w:sz w:val="24"/>
          <w:szCs w:val="24"/>
        </w:rPr>
        <w:t xml:space="preserve"> April 2020 concerning Traffic Modelling and Analysis make the following comments on The Green</w:t>
      </w:r>
      <w:r w:rsidR="004C74F6" w:rsidRPr="0036105B">
        <w:rPr>
          <w:rFonts w:ascii="Arial" w:hAnsi="Arial" w:cs="Arial"/>
          <w:sz w:val="24"/>
          <w:szCs w:val="24"/>
        </w:rPr>
        <w:t xml:space="preserve"> allocation</w:t>
      </w:r>
      <w:r w:rsidRPr="0036105B">
        <w:rPr>
          <w:rFonts w:ascii="Arial" w:hAnsi="Arial" w:cs="Arial"/>
          <w:sz w:val="24"/>
          <w:szCs w:val="24"/>
        </w:rPr>
        <w:t>:</w:t>
      </w:r>
    </w:p>
    <w:p w14:paraId="4E7A895F" w14:textId="77777777" w:rsidR="00800924" w:rsidRPr="0036105B" w:rsidRDefault="00800924" w:rsidP="0036105B">
      <w:pPr>
        <w:pStyle w:val="ListParagraph"/>
        <w:spacing w:line="360" w:lineRule="auto"/>
        <w:rPr>
          <w:rFonts w:ascii="Arial" w:hAnsi="Arial" w:cs="Arial"/>
          <w:sz w:val="24"/>
          <w:szCs w:val="24"/>
        </w:rPr>
      </w:pPr>
    </w:p>
    <w:p w14:paraId="2740EC51" w14:textId="4DF4CF70" w:rsidR="00FB23E3" w:rsidRPr="0036105B" w:rsidRDefault="004C74F6" w:rsidP="0036105B">
      <w:pPr>
        <w:pStyle w:val="ListParagraph"/>
        <w:spacing w:line="360" w:lineRule="auto"/>
        <w:ind w:left="1440"/>
        <w:rPr>
          <w:rFonts w:ascii="Arial" w:hAnsi="Arial" w:cs="Arial"/>
          <w:i/>
          <w:iCs/>
          <w:sz w:val="24"/>
          <w:szCs w:val="24"/>
        </w:rPr>
      </w:pPr>
      <w:r w:rsidRPr="0036105B">
        <w:rPr>
          <w:rFonts w:ascii="Arial" w:hAnsi="Arial" w:cs="Arial"/>
          <w:i/>
          <w:iCs/>
          <w:sz w:val="24"/>
          <w:szCs w:val="24"/>
        </w:rPr>
        <w:t>“</w:t>
      </w:r>
      <w:r w:rsidR="00FB23E3" w:rsidRPr="0036105B">
        <w:rPr>
          <w:rFonts w:ascii="Arial" w:hAnsi="Arial" w:cs="Arial"/>
          <w:i/>
          <w:iCs/>
          <w:sz w:val="24"/>
          <w:szCs w:val="24"/>
        </w:rPr>
        <w:t>As I have commented previously, the location and topography of site 1098 (The Green,</w:t>
      </w:r>
      <w:r w:rsidRPr="0036105B">
        <w:rPr>
          <w:rFonts w:ascii="Arial" w:hAnsi="Arial" w:cs="Arial"/>
          <w:i/>
          <w:iCs/>
          <w:sz w:val="24"/>
          <w:szCs w:val="24"/>
        </w:rPr>
        <w:t xml:space="preserve"> </w:t>
      </w:r>
      <w:r w:rsidR="00FB23E3" w:rsidRPr="0036105B">
        <w:rPr>
          <w:rFonts w:ascii="Arial" w:hAnsi="Arial" w:cs="Arial"/>
          <w:i/>
          <w:iCs/>
          <w:sz w:val="24"/>
          <w:szCs w:val="24"/>
        </w:rPr>
        <w:t>Houghton) suggests that it will connect to The Green. This a minor unclassified road</w:t>
      </w:r>
      <w:r w:rsidRPr="0036105B">
        <w:rPr>
          <w:rFonts w:ascii="Arial" w:hAnsi="Arial" w:cs="Arial"/>
          <w:i/>
          <w:iCs/>
          <w:sz w:val="24"/>
          <w:szCs w:val="24"/>
        </w:rPr>
        <w:t xml:space="preserve"> </w:t>
      </w:r>
      <w:r w:rsidR="00FB23E3" w:rsidRPr="0036105B">
        <w:rPr>
          <w:rFonts w:ascii="Arial" w:hAnsi="Arial" w:cs="Arial"/>
          <w:i/>
          <w:iCs/>
          <w:sz w:val="24"/>
          <w:szCs w:val="24"/>
        </w:rPr>
        <w:t>which is likely to require significant upgrading to accommodate development on this</w:t>
      </w:r>
      <w:r w:rsidRPr="0036105B">
        <w:rPr>
          <w:rFonts w:ascii="Arial" w:hAnsi="Arial" w:cs="Arial"/>
          <w:i/>
          <w:iCs/>
          <w:sz w:val="24"/>
          <w:szCs w:val="24"/>
        </w:rPr>
        <w:t xml:space="preserve"> </w:t>
      </w:r>
      <w:r w:rsidR="00FB23E3" w:rsidRPr="0036105B">
        <w:rPr>
          <w:rFonts w:ascii="Arial" w:hAnsi="Arial" w:cs="Arial"/>
          <w:i/>
          <w:iCs/>
          <w:sz w:val="24"/>
          <w:szCs w:val="24"/>
        </w:rPr>
        <w:t>scale. While access from The Green is possible to both Newport Pagnell Road and</w:t>
      </w:r>
      <w:r w:rsidRPr="0036105B">
        <w:rPr>
          <w:rFonts w:ascii="Arial" w:hAnsi="Arial" w:cs="Arial"/>
          <w:i/>
          <w:iCs/>
          <w:sz w:val="24"/>
          <w:szCs w:val="24"/>
        </w:rPr>
        <w:t xml:space="preserve"> </w:t>
      </w:r>
      <w:r w:rsidR="00FB23E3" w:rsidRPr="0036105B">
        <w:rPr>
          <w:rFonts w:ascii="Arial" w:hAnsi="Arial" w:cs="Arial"/>
          <w:i/>
          <w:iCs/>
          <w:sz w:val="24"/>
          <w:szCs w:val="24"/>
        </w:rPr>
        <w:t>Bedford Road, little traffic is heading to the latter which appears to be the result of the</w:t>
      </w:r>
      <w:r w:rsidRPr="0036105B">
        <w:rPr>
          <w:rFonts w:ascii="Arial" w:hAnsi="Arial" w:cs="Arial"/>
          <w:i/>
          <w:iCs/>
          <w:sz w:val="24"/>
          <w:szCs w:val="24"/>
        </w:rPr>
        <w:t xml:space="preserve"> </w:t>
      </w:r>
      <w:r w:rsidR="00FB23E3" w:rsidRPr="0036105B">
        <w:rPr>
          <w:rFonts w:ascii="Arial" w:hAnsi="Arial" w:cs="Arial"/>
          <w:i/>
          <w:iCs/>
          <w:sz w:val="24"/>
          <w:szCs w:val="24"/>
        </w:rPr>
        <w:t>cumulative impacts of all the various developments in that area.</w:t>
      </w:r>
    </w:p>
    <w:p w14:paraId="43C6D1EE" w14:textId="77777777" w:rsidR="00800924" w:rsidRPr="0036105B" w:rsidRDefault="00800924" w:rsidP="0036105B">
      <w:pPr>
        <w:pStyle w:val="ListParagraph"/>
        <w:spacing w:line="360" w:lineRule="auto"/>
        <w:ind w:left="1440"/>
        <w:rPr>
          <w:rFonts w:ascii="Arial" w:hAnsi="Arial" w:cs="Arial"/>
          <w:i/>
          <w:iCs/>
          <w:sz w:val="24"/>
          <w:szCs w:val="24"/>
        </w:rPr>
      </w:pPr>
    </w:p>
    <w:p w14:paraId="1ACD5E24" w14:textId="76D43B79" w:rsidR="00FB23E3" w:rsidRPr="0036105B" w:rsidRDefault="00FB23E3" w:rsidP="0036105B">
      <w:pPr>
        <w:pStyle w:val="ListParagraph"/>
        <w:spacing w:line="360" w:lineRule="auto"/>
        <w:ind w:left="1440"/>
        <w:rPr>
          <w:rFonts w:ascii="Arial" w:hAnsi="Arial" w:cs="Arial"/>
          <w:i/>
          <w:iCs/>
          <w:sz w:val="24"/>
          <w:szCs w:val="24"/>
        </w:rPr>
      </w:pPr>
      <w:r w:rsidRPr="0036105B">
        <w:rPr>
          <w:rFonts w:ascii="Arial" w:hAnsi="Arial" w:cs="Arial"/>
          <w:i/>
          <w:iCs/>
          <w:sz w:val="24"/>
          <w:szCs w:val="24"/>
        </w:rPr>
        <w:t>The V/C ratios on the eastern Bedford Road approach to the Barnes Meadow</w:t>
      </w:r>
      <w:r w:rsidR="004C74F6" w:rsidRPr="0036105B">
        <w:rPr>
          <w:rFonts w:ascii="Arial" w:hAnsi="Arial" w:cs="Arial"/>
          <w:i/>
          <w:iCs/>
          <w:sz w:val="24"/>
          <w:szCs w:val="24"/>
        </w:rPr>
        <w:t xml:space="preserve"> </w:t>
      </w:r>
      <w:r w:rsidRPr="0036105B">
        <w:rPr>
          <w:rFonts w:ascii="Arial" w:hAnsi="Arial" w:cs="Arial"/>
          <w:i/>
          <w:iCs/>
          <w:sz w:val="24"/>
          <w:szCs w:val="24"/>
        </w:rPr>
        <w:t>interchange are in the 100-100% range in the AM peak do-minimum scenario (without</w:t>
      </w:r>
      <w:r w:rsidR="004C74F6" w:rsidRPr="0036105B">
        <w:rPr>
          <w:rFonts w:ascii="Arial" w:hAnsi="Arial" w:cs="Arial"/>
          <w:i/>
          <w:iCs/>
          <w:sz w:val="24"/>
          <w:szCs w:val="24"/>
        </w:rPr>
        <w:t xml:space="preserve"> </w:t>
      </w:r>
      <w:r w:rsidRPr="0036105B">
        <w:rPr>
          <w:rFonts w:ascii="Arial" w:hAnsi="Arial" w:cs="Arial"/>
          <w:i/>
          <w:iCs/>
          <w:sz w:val="24"/>
          <w:szCs w:val="24"/>
        </w:rPr>
        <w:t>the plan allocations) and are unchanged in the do-something scenario (with the plan</w:t>
      </w:r>
      <w:r w:rsidR="004C74F6" w:rsidRPr="0036105B">
        <w:rPr>
          <w:rFonts w:ascii="Arial" w:hAnsi="Arial" w:cs="Arial"/>
          <w:i/>
          <w:iCs/>
          <w:sz w:val="24"/>
          <w:szCs w:val="24"/>
        </w:rPr>
        <w:t xml:space="preserve"> </w:t>
      </w:r>
      <w:r w:rsidRPr="0036105B">
        <w:rPr>
          <w:rFonts w:ascii="Arial" w:hAnsi="Arial" w:cs="Arial"/>
          <w:i/>
          <w:iCs/>
          <w:sz w:val="24"/>
          <w:szCs w:val="24"/>
        </w:rPr>
        <w:t>allocations). The traffic flows difference plots show that flows are barely changed, but</w:t>
      </w:r>
      <w:r w:rsidR="004C74F6" w:rsidRPr="0036105B">
        <w:rPr>
          <w:rFonts w:ascii="Arial" w:hAnsi="Arial" w:cs="Arial"/>
          <w:i/>
          <w:iCs/>
          <w:sz w:val="24"/>
          <w:szCs w:val="24"/>
        </w:rPr>
        <w:t xml:space="preserve"> </w:t>
      </w:r>
      <w:r w:rsidRPr="0036105B">
        <w:rPr>
          <w:rFonts w:ascii="Arial" w:hAnsi="Arial" w:cs="Arial"/>
          <w:i/>
          <w:iCs/>
          <w:sz w:val="24"/>
          <w:szCs w:val="24"/>
        </w:rPr>
        <w:t>do indicate additional flow through the Brackmills industrial estate which would appear</w:t>
      </w:r>
      <w:r w:rsidR="004C74F6" w:rsidRPr="0036105B">
        <w:rPr>
          <w:rFonts w:ascii="Arial" w:hAnsi="Arial" w:cs="Arial"/>
          <w:i/>
          <w:iCs/>
          <w:sz w:val="24"/>
          <w:szCs w:val="24"/>
        </w:rPr>
        <w:t xml:space="preserve"> </w:t>
      </w:r>
      <w:r w:rsidRPr="0036105B">
        <w:rPr>
          <w:rFonts w:ascii="Arial" w:hAnsi="Arial" w:cs="Arial"/>
          <w:i/>
          <w:iCs/>
          <w:sz w:val="24"/>
          <w:szCs w:val="24"/>
        </w:rPr>
        <w:t>to be traffic avoiding the Bedford Road.</w:t>
      </w:r>
      <w:r w:rsidR="004C74F6" w:rsidRPr="0036105B">
        <w:rPr>
          <w:rFonts w:ascii="Arial" w:hAnsi="Arial" w:cs="Arial"/>
          <w:i/>
          <w:iCs/>
          <w:sz w:val="24"/>
          <w:szCs w:val="24"/>
        </w:rPr>
        <w:t xml:space="preserve"> </w:t>
      </w:r>
    </w:p>
    <w:p w14:paraId="46FA8B04" w14:textId="77777777" w:rsidR="00D653C8" w:rsidRPr="0036105B" w:rsidRDefault="00D653C8" w:rsidP="0036105B">
      <w:pPr>
        <w:pStyle w:val="ListParagraph"/>
        <w:spacing w:line="360" w:lineRule="auto"/>
        <w:ind w:left="1440"/>
        <w:rPr>
          <w:rFonts w:ascii="Arial" w:hAnsi="Arial" w:cs="Arial"/>
          <w:i/>
          <w:iCs/>
          <w:sz w:val="24"/>
          <w:szCs w:val="24"/>
        </w:rPr>
      </w:pPr>
    </w:p>
    <w:p w14:paraId="7D5C51BC" w14:textId="14B3EE40" w:rsidR="00FB23E3" w:rsidRPr="0036105B" w:rsidRDefault="00FB23E3" w:rsidP="0036105B">
      <w:pPr>
        <w:pStyle w:val="ListParagraph"/>
        <w:spacing w:line="360" w:lineRule="auto"/>
        <w:ind w:left="1440"/>
        <w:rPr>
          <w:rFonts w:ascii="Arial" w:hAnsi="Arial" w:cs="Arial"/>
          <w:i/>
          <w:iCs/>
          <w:sz w:val="24"/>
          <w:szCs w:val="24"/>
        </w:rPr>
      </w:pPr>
      <w:r w:rsidRPr="0036105B">
        <w:rPr>
          <w:rFonts w:ascii="Arial" w:hAnsi="Arial" w:cs="Arial"/>
          <w:i/>
          <w:iCs/>
          <w:sz w:val="24"/>
          <w:szCs w:val="24"/>
        </w:rPr>
        <w:t>Combined with knowledge of the existing traffic situation in the area, this would indicate</w:t>
      </w:r>
      <w:r w:rsidR="004C74F6" w:rsidRPr="0036105B">
        <w:rPr>
          <w:rFonts w:ascii="Arial" w:hAnsi="Arial" w:cs="Arial"/>
          <w:i/>
          <w:iCs/>
          <w:sz w:val="24"/>
          <w:szCs w:val="24"/>
        </w:rPr>
        <w:t xml:space="preserve"> </w:t>
      </w:r>
      <w:r w:rsidRPr="0036105B">
        <w:rPr>
          <w:rFonts w:ascii="Arial" w:hAnsi="Arial" w:cs="Arial"/>
          <w:i/>
          <w:iCs/>
          <w:sz w:val="24"/>
          <w:szCs w:val="24"/>
        </w:rPr>
        <w:t>that some significant upgrading of the eastern Bedford Road approach to the Barnes</w:t>
      </w:r>
      <w:r w:rsidR="004C74F6" w:rsidRPr="0036105B">
        <w:rPr>
          <w:rFonts w:ascii="Arial" w:hAnsi="Arial" w:cs="Arial"/>
          <w:i/>
          <w:iCs/>
          <w:sz w:val="24"/>
          <w:szCs w:val="24"/>
        </w:rPr>
        <w:t xml:space="preserve"> </w:t>
      </w:r>
      <w:r w:rsidRPr="0036105B">
        <w:rPr>
          <w:rFonts w:ascii="Arial" w:hAnsi="Arial" w:cs="Arial"/>
          <w:i/>
          <w:iCs/>
          <w:sz w:val="24"/>
          <w:szCs w:val="24"/>
        </w:rPr>
        <w:t>Meadow roundabout will be required, specifically the widening of the river bridge (which</w:t>
      </w:r>
      <w:r w:rsidR="004C74F6" w:rsidRPr="0036105B">
        <w:rPr>
          <w:rFonts w:ascii="Arial" w:hAnsi="Arial" w:cs="Arial"/>
          <w:i/>
          <w:iCs/>
          <w:sz w:val="24"/>
          <w:szCs w:val="24"/>
        </w:rPr>
        <w:t xml:space="preserve"> </w:t>
      </w:r>
      <w:r w:rsidRPr="0036105B">
        <w:rPr>
          <w:rFonts w:ascii="Arial" w:hAnsi="Arial" w:cs="Arial"/>
          <w:i/>
          <w:iCs/>
          <w:sz w:val="24"/>
          <w:szCs w:val="24"/>
        </w:rPr>
        <w:t>being so close to the A45 is a constraint on stacking capacity at the signal stop line).</w:t>
      </w:r>
    </w:p>
    <w:p w14:paraId="55C7BFE7" w14:textId="77777777" w:rsidR="00D653C8" w:rsidRPr="0036105B" w:rsidRDefault="00D653C8" w:rsidP="0036105B">
      <w:pPr>
        <w:pStyle w:val="ListParagraph"/>
        <w:spacing w:line="360" w:lineRule="auto"/>
        <w:ind w:left="1440"/>
        <w:rPr>
          <w:rFonts w:ascii="Arial" w:hAnsi="Arial" w:cs="Arial"/>
          <w:i/>
          <w:iCs/>
          <w:sz w:val="24"/>
          <w:szCs w:val="24"/>
        </w:rPr>
      </w:pPr>
    </w:p>
    <w:p w14:paraId="412381D9" w14:textId="6B19D2AA" w:rsidR="00FB23E3" w:rsidRPr="0036105B" w:rsidRDefault="00FB23E3" w:rsidP="0036105B">
      <w:pPr>
        <w:pStyle w:val="ListParagraph"/>
        <w:spacing w:line="360" w:lineRule="auto"/>
        <w:ind w:left="1440"/>
        <w:rPr>
          <w:rFonts w:ascii="Arial" w:hAnsi="Arial" w:cs="Arial"/>
          <w:i/>
          <w:iCs/>
          <w:sz w:val="24"/>
          <w:szCs w:val="24"/>
        </w:rPr>
      </w:pPr>
      <w:r w:rsidRPr="0036105B">
        <w:rPr>
          <w:rFonts w:ascii="Arial" w:hAnsi="Arial" w:cs="Arial"/>
          <w:i/>
          <w:iCs/>
          <w:sz w:val="24"/>
          <w:szCs w:val="24"/>
        </w:rPr>
        <w:t>While this will not be cheap, it should be noted that the design of the bridge does enable</w:t>
      </w:r>
      <w:r w:rsidR="004C74F6" w:rsidRPr="0036105B">
        <w:rPr>
          <w:rFonts w:ascii="Arial" w:hAnsi="Arial" w:cs="Arial"/>
          <w:i/>
          <w:iCs/>
          <w:sz w:val="24"/>
          <w:szCs w:val="24"/>
        </w:rPr>
        <w:t xml:space="preserve"> </w:t>
      </w:r>
      <w:r w:rsidRPr="0036105B">
        <w:rPr>
          <w:rFonts w:ascii="Arial" w:hAnsi="Arial" w:cs="Arial"/>
          <w:i/>
          <w:iCs/>
          <w:sz w:val="24"/>
          <w:szCs w:val="24"/>
        </w:rPr>
        <w:t>relatively easy widening, as this was done on the similar structure west of the A45</w:t>
      </w:r>
      <w:r w:rsidR="004C74F6" w:rsidRPr="0036105B">
        <w:rPr>
          <w:rFonts w:ascii="Arial" w:hAnsi="Arial" w:cs="Arial"/>
          <w:i/>
          <w:iCs/>
          <w:sz w:val="24"/>
          <w:szCs w:val="24"/>
        </w:rPr>
        <w:t xml:space="preserve"> </w:t>
      </w:r>
      <w:r w:rsidRPr="0036105B">
        <w:rPr>
          <w:rFonts w:ascii="Arial" w:hAnsi="Arial" w:cs="Arial"/>
          <w:i/>
          <w:iCs/>
          <w:sz w:val="24"/>
          <w:szCs w:val="24"/>
        </w:rPr>
        <w:t>some years ago.</w:t>
      </w:r>
    </w:p>
    <w:p w14:paraId="58B3A41D" w14:textId="77777777" w:rsidR="00D653C8" w:rsidRPr="0036105B" w:rsidRDefault="00D653C8" w:rsidP="0036105B">
      <w:pPr>
        <w:pStyle w:val="ListParagraph"/>
        <w:spacing w:line="360" w:lineRule="auto"/>
        <w:ind w:left="1440"/>
        <w:rPr>
          <w:rFonts w:ascii="Arial" w:hAnsi="Arial" w:cs="Arial"/>
          <w:i/>
          <w:iCs/>
          <w:sz w:val="24"/>
          <w:szCs w:val="24"/>
        </w:rPr>
      </w:pPr>
    </w:p>
    <w:p w14:paraId="71A7BDCF" w14:textId="7EABDD26" w:rsidR="00FB23E3" w:rsidRPr="0036105B" w:rsidRDefault="00FB23E3" w:rsidP="0036105B">
      <w:pPr>
        <w:pStyle w:val="ListParagraph"/>
        <w:spacing w:line="360" w:lineRule="auto"/>
        <w:ind w:left="1440"/>
        <w:rPr>
          <w:rFonts w:ascii="Arial" w:hAnsi="Arial" w:cs="Arial"/>
          <w:i/>
          <w:iCs/>
          <w:sz w:val="24"/>
          <w:szCs w:val="24"/>
        </w:rPr>
      </w:pPr>
      <w:r w:rsidRPr="0036105B">
        <w:rPr>
          <w:rFonts w:ascii="Arial" w:hAnsi="Arial" w:cs="Arial"/>
          <w:i/>
          <w:iCs/>
          <w:sz w:val="24"/>
          <w:szCs w:val="24"/>
        </w:rPr>
        <w:t>It should be noted that there is also a discernible movement off traffic off Newport</w:t>
      </w:r>
      <w:r w:rsidR="004C74F6" w:rsidRPr="0036105B">
        <w:rPr>
          <w:rFonts w:ascii="Arial" w:hAnsi="Arial" w:cs="Arial"/>
          <w:i/>
          <w:iCs/>
          <w:sz w:val="24"/>
          <w:szCs w:val="24"/>
        </w:rPr>
        <w:t xml:space="preserve">  </w:t>
      </w:r>
      <w:r w:rsidRPr="0036105B">
        <w:rPr>
          <w:rFonts w:ascii="Arial" w:hAnsi="Arial" w:cs="Arial"/>
          <w:i/>
          <w:iCs/>
          <w:sz w:val="24"/>
          <w:szCs w:val="24"/>
        </w:rPr>
        <w:t>Pagnell Road which is rat-running through Brackmills to reach the A45 at Brackmills</w:t>
      </w:r>
      <w:r w:rsidR="004C74F6" w:rsidRPr="0036105B">
        <w:rPr>
          <w:rFonts w:ascii="Arial" w:hAnsi="Arial" w:cs="Arial"/>
          <w:i/>
          <w:iCs/>
          <w:sz w:val="24"/>
          <w:szCs w:val="24"/>
        </w:rPr>
        <w:t xml:space="preserve"> </w:t>
      </w:r>
      <w:r w:rsidRPr="0036105B">
        <w:rPr>
          <w:rFonts w:ascii="Arial" w:hAnsi="Arial" w:cs="Arial"/>
          <w:i/>
          <w:iCs/>
          <w:sz w:val="24"/>
          <w:szCs w:val="24"/>
        </w:rPr>
        <w:t>Interchange, but this impact may be mitigated if it is easier for traffic from The Green</w:t>
      </w:r>
      <w:r w:rsidR="004C74F6" w:rsidRPr="0036105B">
        <w:rPr>
          <w:rFonts w:ascii="Arial" w:hAnsi="Arial" w:cs="Arial"/>
          <w:i/>
          <w:iCs/>
          <w:sz w:val="24"/>
          <w:szCs w:val="24"/>
        </w:rPr>
        <w:t xml:space="preserve"> </w:t>
      </w:r>
      <w:r w:rsidRPr="0036105B">
        <w:rPr>
          <w:rFonts w:ascii="Arial" w:hAnsi="Arial" w:cs="Arial"/>
          <w:i/>
          <w:iCs/>
          <w:sz w:val="24"/>
          <w:szCs w:val="24"/>
        </w:rPr>
        <w:t>to exit via Bedford Road.</w:t>
      </w:r>
      <w:r w:rsidR="004C74F6" w:rsidRPr="0036105B">
        <w:rPr>
          <w:rFonts w:ascii="Arial" w:hAnsi="Arial" w:cs="Arial"/>
          <w:i/>
          <w:iCs/>
          <w:sz w:val="24"/>
          <w:szCs w:val="24"/>
        </w:rPr>
        <w:t>”</w:t>
      </w:r>
    </w:p>
    <w:p w14:paraId="224FFB3C" w14:textId="77777777" w:rsidR="00D653C8" w:rsidRPr="0036105B" w:rsidRDefault="00D653C8" w:rsidP="0036105B">
      <w:pPr>
        <w:pStyle w:val="ListParagraph"/>
        <w:spacing w:line="360" w:lineRule="auto"/>
        <w:ind w:left="1440"/>
        <w:rPr>
          <w:rFonts w:ascii="Arial" w:hAnsi="Arial" w:cs="Arial"/>
          <w:i/>
          <w:iCs/>
          <w:sz w:val="24"/>
          <w:szCs w:val="24"/>
        </w:rPr>
      </w:pPr>
    </w:p>
    <w:p w14:paraId="2B1F29BC" w14:textId="7165ED28" w:rsidR="00EC575C" w:rsidRPr="0036105B" w:rsidRDefault="00FF1327"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 xml:space="preserve">This response fails to take account of any impact on the existing village of Great Houghton. </w:t>
      </w:r>
      <w:r w:rsidR="00326C1D" w:rsidRPr="0036105B">
        <w:rPr>
          <w:rFonts w:ascii="Arial" w:hAnsi="Arial" w:cs="Arial"/>
          <w:sz w:val="24"/>
          <w:szCs w:val="24"/>
        </w:rPr>
        <w:t>A</w:t>
      </w:r>
      <w:r w:rsidR="00495F61" w:rsidRPr="0036105B">
        <w:rPr>
          <w:rFonts w:ascii="Arial" w:hAnsi="Arial" w:cs="Arial"/>
          <w:sz w:val="24"/>
          <w:szCs w:val="24"/>
        </w:rPr>
        <w:t>dditional</w:t>
      </w:r>
      <w:r w:rsidR="00C6554E" w:rsidRPr="0036105B">
        <w:rPr>
          <w:rFonts w:ascii="Arial" w:hAnsi="Arial" w:cs="Arial"/>
          <w:sz w:val="24"/>
          <w:szCs w:val="24"/>
        </w:rPr>
        <w:t xml:space="preserve"> traffic generated by</w:t>
      </w:r>
      <w:r w:rsidR="002A6D80" w:rsidRPr="0036105B">
        <w:rPr>
          <w:rFonts w:ascii="Arial" w:hAnsi="Arial" w:cs="Arial"/>
          <w:sz w:val="24"/>
          <w:szCs w:val="24"/>
        </w:rPr>
        <w:t xml:space="preserve"> the development</w:t>
      </w:r>
      <w:r w:rsidR="00326C1D" w:rsidRPr="0036105B">
        <w:rPr>
          <w:rFonts w:ascii="Arial" w:hAnsi="Arial" w:cs="Arial"/>
          <w:sz w:val="24"/>
          <w:szCs w:val="24"/>
        </w:rPr>
        <w:t xml:space="preserve"> will have a severe impact on Great Houghton village. </w:t>
      </w:r>
    </w:p>
    <w:p w14:paraId="6E4818DB" w14:textId="77777777" w:rsidR="00D653C8" w:rsidRPr="0036105B" w:rsidRDefault="00D653C8" w:rsidP="0036105B">
      <w:pPr>
        <w:pStyle w:val="ListParagraph"/>
        <w:spacing w:line="360" w:lineRule="auto"/>
        <w:rPr>
          <w:rFonts w:ascii="Arial" w:hAnsi="Arial" w:cs="Arial"/>
          <w:sz w:val="24"/>
          <w:szCs w:val="24"/>
        </w:rPr>
      </w:pPr>
    </w:p>
    <w:p w14:paraId="35AD6A74" w14:textId="3247F55E" w:rsidR="00EC575C" w:rsidRPr="0036105B" w:rsidRDefault="00EC575C"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 xml:space="preserve">The County Council identify The Green </w:t>
      </w:r>
      <w:r w:rsidR="004E6B78">
        <w:rPr>
          <w:rFonts w:ascii="Arial" w:hAnsi="Arial" w:cs="Arial"/>
          <w:sz w:val="24"/>
          <w:szCs w:val="24"/>
        </w:rPr>
        <w:t>–</w:t>
      </w:r>
      <w:r w:rsidRPr="0036105B">
        <w:rPr>
          <w:rFonts w:ascii="Arial" w:hAnsi="Arial" w:cs="Arial"/>
          <w:sz w:val="24"/>
          <w:szCs w:val="24"/>
        </w:rPr>
        <w:t xml:space="preserve"> </w:t>
      </w:r>
      <w:r w:rsidR="004E6B78">
        <w:rPr>
          <w:rFonts w:ascii="Arial" w:hAnsi="Arial" w:cs="Arial"/>
          <w:sz w:val="24"/>
          <w:szCs w:val="24"/>
        </w:rPr>
        <w:t>“</w:t>
      </w:r>
      <w:r w:rsidR="00FA2C29">
        <w:rPr>
          <w:rFonts w:ascii="Arial" w:hAnsi="Arial" w:cs="Arial"/>
          <w:i/>
          <w:iCs/>
          <w:sz w:val="24"/>
          <w:szCs w:val="24"/>
        </w:rPr>
        <w:t>as</w:t>
      </w:r>
      <w:r w:rsidR="00FA2C29" w:rsidRPr="00FA2C29">
        <w:rPr>
          <w:rFonts w:ascii="Arial" w:hAnsi="Arial" w:cs="Arial"/>
          <w:i/>
          <w:iCs/>
          <w:sz w:val="24"/>
          <w:szCs w:val="24"/>
        </w:rPr>
        <w:t xml:space="preserve"> a minor unclassified road which is likely to require significant upgrading to accommodate development on this scale</w:t>
      </w:r>
      <w:r w:rsidR="004E6B78">
        <w:rPr>
          <w:rFonts w:ascii="Arial" w:hAnsi="Arial" w:cs="Arial"/>
          <w:i/>
          <w:iCs/>
          <w:sz w:val="24"/>
          <w:szCs w:val="24"/>
        </w:rPr>
        <w:t>”</w:t>
      </w:r>
      <w:r w:rsidR="00FA2C29" w:rsidRPr="00FA2C29">
        <w:rPr>
          <w:rFonts w:ascii="Arial" w:hAnsi="Arial" w:cs="Arial"/>
          <w:i/>
          <w:iCs/>
          <w:sz w:val="24"/>
          <w:szCs w:val="24"/>
        </w:rPr>
        <w:t xml:space="preserve">. </w:t>
      </w:r>
      <w:r w:rsidR="00FA2C29">
        <w:rPr>
          <w:rFonts w:ascii="Arial" w:hAnsi="Arial" w:cs="Arial"/>
          <w:sz w:val="24"/>
          <w:szCs w:val="24"/>
        </w:rPr>
        <w:t xml:space="preserve">In reality this is </w:t>
      </w:r>
      <w:r w:rsidRPr="0036105B">
        <w:rPr>
          <w:rFonts w:ascii="Arial" w:hAnsi="Arial" w:cs="Arial"/>
          <w:sz w:val="24"/>
          <w:szCs w:val="24"/>
        </w:rPr>
        <w:t>an unlit single track road with passing places and blind bends</w:t>
      </w:r>
      <w:r w:rsidR="00FA2C29">
        <w:rPr>
          <w:rFonts w:ascii="Arial" w:hAnsi="Arial" w:cs="Arial"/>
          <w:sz w:val="24"/>
          <w:szCs w:val="24"/>
        </w:rPr>
        <w:t xml:space="preserve">. </w:t>
      </w:r>
      <w:r w:rsidRPr="0036105B">
        <w:rPr>
          <w:rFonts w:ascii="Arial" w:hAnsi="Arial" w:cs="Arial"/>
          <w:sz w:val="24"/>
          <w:szCs w:val="24"/>
        </w:rPr>
        <w:t>At the moment, the edges of the road break down, especially during winter, creating large potholes which need regular repair. There is frequent fly</w:t>
      </w:r>
      <w:r w:rsidR="00FA2C29">
        <w:rPr>
          <w:rFonts w:ascii="Arial" w:hAnsi="Arial" w:cs="Arial"/>
          <w:sz w:val="24"/>
          <w:szCs w:val="24"/>
        </w:rPr>
        <w:t xml:space="preserve"> </w:t>
      </w:r>
      <w:r w:rsidRPr="0036105B">
        <w:rPr>
          <w:rFonts w:ascii="Arial" w:hAnsi="Arial" w:cs="Arial"/>
          <w:sz w:val="24"/>
          <w:szCs w:val="24"/>
        </w:rPr>
        <w:t xml:space="preserve">tipping in the passing places. At present this route does not cope with its current </w:t>
      </w:r>
      <w:r w:rsidR="00FA2C29">
        <w:rPr>
          <w:rFonts w:ascii="Arial" w:hAnsi="Arial" w:cs="Arial"/>
          <w:sz w:val="24"/>
          <w:szCs w:val="24"/>
        </w:rPr>
        <w:t xml:space="preserve">traffic </w:t>
      </w:r>
      <w:r w:rsidRPr="0036105B">
        <w:rPr>
          <w:rFonts w:ascii="Arial" w:hAnsi="Arial" w:cs="Arial"/>
          <w:sz w:val="24"/>
          <w:szCs w:val="24"/>
        </w:rPr>
        <w:t xml:space="preserve">usage. </w:t>
      </w:r>
    </w:p>
    <w:p w14:paraId="7D5EEFA8" w14:textId="77777777" w:rsidR="00D653C8" w:rsidRPr="0036105B" w:rsidRDefault="00D653C8" w:rsidP="0036105B">
      <w:pPr>
        <w:pStyle w:val="ListParagraph"/>
        <w:spacing w:line="360" w:lineRule="auto"/>
        <w:rPr>
          <w:rFonts w:ascii="Arial" w:hAnsi="Arial" w:cs="Arial"/>
          <w:sz w:val="24"/>
          <w:szCs w:val="24"/>
        </w:rPr>
      </w:pPr>
    </w:p>
    <w:p w14:paraId="62A7EBEB" w14:textId="594AD76D" w:rsidR="00EC575C" w:rsidRPr="0036105B" w:rsidRDefault="004E6B78" w:rsidP="0036105B">
      <w:pPr>
        <w:pStyle w:val="ListParagraph"/>
        <w:numPr>
          <w:ilvl w:val="0"/>
          <w:numId w:val="5"/>
        </w:numPr>
        <w:spacing w:line="360" w:lineRule="auto"/>
        <w:rPr>
          <w:rFonts w:ascii="Arial" w:hAnsi="Arial" w:cs="Arial"/>
          <w:sz w:val="24"/>
          <w:szCs w:val="24"/>
        </w:rPr>
      </w:pPr>
      <w:r>
        <w:rPr>
          <w:rFonts w:ascii="Arial" w:hAnsi="Arial" w:cs="Arial"/>
          <w:sz w:val="24"/>
          <w:szCs w:val="24"/>
        </w:rPr>
        <w:t>T</w:t>
      </w:r>
      <w:r w:rsidR="00EC575C" w:rsidRPr="0036105B">
        <w:rPr>
          <w:rFonts w:ascii="Arial" w:hAnsi="Arial" w:cs="Arial"/>
          <w:sz w:val="24"/>
          <w:szCs w:val="24"/>
        </w:rPr>
        <w:t>he Green is bordered by agricultural land and</w:t>
      </w:r>
      <w:r>
        <w:rPr>
          <w:rFonts w:ascii="Arial" w:hAnsi="Arial" w:cs="Arial"/>
          <w:sz w:val="24"/>
          <w:szCs w:val="24"/>
        </w:rPr>
        <w:t>, whilst at a cost, this route</w:t>
      </w:r>
      <w:r w:rsidR="00EC575C" w:rsidRPr="0036105B">
        <w:rPr>
          <w:rFonts w:ascii="Arial" w:hAnsi="Arial" w:cs="Arial"/>
          <w:sz w:val="24"/>
          <w:szCs w:val="24"/>
        </w:rPr>
        <w:t xml:space="preserve"> could potentially be improved</w:t>
      </w:r>
      <w:r>
        <w:rPr>
          <w:rFonts w:ascii="Arial" w:hAnsi="Arial" w:cs="Arial"/>
          <w:sz w:val="24"/>
          <w:szCs w:val="24"/>
        </w:rPr>
        <w:t xml:space="preserve">, such an improvement fails to take account of the extra </w:t>
      </w:r>
      <w:r w:rsidR="00EC575C" w:rsidRPr="0036105B">
        <w:rPr>
          <w:rFonts w:ascii="Arial" w:hAnsi="Arial" w:cs="Arial"/>
          <w:sz w:val="24"/>
          <w:szCs w:val="24"/>
        </w:rPr>
        <w:t xml:space="preserve">traffic </w:t>
      </w:r>
      <w:r>
        <w:rPr>
          <w:rFonts w:ascii="Arial" w:hAnsi="Arial" w:cs="Arial"/>
          <w:sz w:val="24"/>
          <w:szCs w:val="24"/>
        </w:rPr>
        <w:t xml:space="preserve">passing along </w:t>
      </w:r>
      <w:r w:rsidR="00EC575C" w:rsidRPr="0036105B">
        <w:rPr>
          <w:rFonts w:ascii="Arial" w:hAnsi="Arial" w:cs="Arial"/>
          <w:sz w:val="24"/>
          <w:szCs w:val="24"/>
        </w:rPr>
        <w:t xml:space="preserve">the High Street in the village, </w:t>
      </w:r>
      <w:r>
        <w:rPr>
          <w:rFonts w:ascii="Arial" w:hAnsi="Arial" w:cs="Arial"/>
          <w:sz w:val="24"/>
          <w:szCs w:val="24"/>
        </w:rPr>
        <w:t>a road which cannot be upgraded</w:t>
      </w:r>
      <w:r w:rsidR="00EC575C" w:rsidRPr="0036105B">
        <w:rPr>
          <w:rFonts w:ascii="Arial" w:hAnsi="Arial" w:cs="Arial"/>
          <w:sz w:val="24"/>
          <w:szCs w:val="24"/>
        </w:rPr>
        <w:t>.</w:t>
      </w:r>
      <w:r w:rsidR="00FA2C29">
        <w:rPr>
          <w:rFonts w:ascii="Arial" w:hAnsi="Arial" w:cs="Arial"/>
          <w:sz w:val="24"/>
          <w:szCs w:val="24"/>
        </w:rPr>
        <w:t xml:space="preserve"> Existing problems </w:t>
      </w:r>
      <w:r>
        <w:rPr>
          <w:rFonts w:ascii="Arial" w:hAnsi="Arial" w:cs="Arial"/>
          <w:sz w:val="24"/>
          <w:szCs w:val="24"/>
        </w:rPr>
        <w:t xml:space="preserve">within the village </w:t>
      </w:r>
      <w:r w:rsidR="00FA2C29">
        <w:rPr>
          <w:rFonts w:ascii="Arial" w:hAnsi="Arial" w:cs="Arial"/>
          <w:sz w:val="24"/>
          <w:szCs w:val="24"/>
        </w:rPr>
        <w:t>will only deteriorate further.</w:t>
      </w:r>
    </w:p>
    <w:p w14:paraId="7887FC29" w14:textId="77777777" w:rsidR="00D653C8" w:rsidRPr="0036105B" w:rsidRDefault="00D653C8" w:rsidP="0036105B">
      <w:pPr>
        <w:pStyle w:val="ListParagraph"/>
        <w:spacing w:line="360" w:lineRule="auto"/>
        <w:rPr>
          <w:rFonts w:ascii="Arial" w:hAnsi="Arial" w:cs="Arial"/>
          <w:sz w:val="24"/>
          <w:szCs w:val="24"/>
        </w:rPr>
      </w:pPr>
    </w:p>
    <w:p w14:paraId="3A295D25" w14:textId="53038D09" w:rsidR="00EC575C" w:rsidRPr="0036105B" w:rsidRDefault="00484BBB"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T</w:t>
      </w:r>
      <w:r w:rsidR="00326C1D" w:rsidRPr="0036105B">
        <w:rPr>
          <w:rFonts w:ascii="Arial" w:hAnsi="Arial" w:cs="Arial"/>
          <w:sz w:val="24"/>
          <w:szCs w:val="24"/>
        </w:rPr>
        <w:t xml:space="preserve">he </w:t>
      </w:r>
      <w:r w:rsidR="00EC575C" w:rsidRPr="0036105B">
        <w:rPr>
          <w:rFonts w:ascii="Arial" w:hAnsi="Arial" w:cs="Arial"/>
          <w:sz w:val="24"/>
          <w:szCs w:val="24"/>
        </w:rPr>
        <w:t xml:space="preserve">impact of increased traffic </w:t>
      </w:r>
      <w:r w:rsidR="00326C1D" w:rsidRPr="0036105B">
        <w:rPr>
          <w:rFonts w:ascii="Arial" w:hAnsi="Arial" w:cs="Arial"/>
          <w:sz w:val="24"/>
          <w:szCs w:val="24"/>
        </w:rPr>
        <w:t>along the village’s main thoroughfare,</w:t>
      </w:r>
      <w:r w:rsidR="002A6D80" w:rsidRPr="0036105B">
        <w:rPr>
          <w:rFonts w:ascii="Arial" w:hAnsi="Arial" w:cs="Arial"/>
          <w:sz w:val="24"/>
          <w:szCs w:val="24"/>
        </w:rPr>
        <w:t xml:space="preserve"> </w:t>
      </w:r>
      <w:r w:rsidR="00495F61" w:rsidRPr="0036105B">
        <w:rPr>
          <w:rFonts w:ascii="Arial" w:hAnsi="Arial" w:cs="Arial"/>
          <w:sz w:val="24"/>
          <w:szCs w:val="24"/>
        </w:rPr>
        <w:t>Great Houghton</w:t>
      </w:r>
      <w:r w:rsidR="00C6554E" w:rsidRPr="0036105B">
        <w:rPr>
          <w:rFonts w:ascii="Arial" w:hAnsi="Arial" w:cs="Arial"/>
          <w:sz w:val="24"/>
          <w:szCs w:val="24"/>
        </w:rPr>
        <w:t xml:space="preserve"> High Street</w:t>
      </w:r>
      <w:r w:rsidR="00326C1D" w:rsidRPr="0036105B">
        <w:rPr>
          <w:rFonts w:ascii="Arial" w:hAnsi="Arial" w:cs="Arial"/>
          <w:sz w:val="24"/>
          <w:szCs w:val="24"/>
        </w:rPr>
        <w:t>,</w:t>
      </w:r>
      <w:r w:rsidR="00C6554E" w:rsidRPr="0036105B">
        <w:rPr>
          <w:rFonts w:ascii="Arial" w:hAnsi="Arial" w:cs="Arial"/>
          <w:sz w:val="24"/>
          <w:szCs w:val="24"/>
        </w:rPr>
        <w:t xml:space="preserve"> and </w:t>
      </w:r>
      <w:r w:rsidR="002A6D80" w:rsidRPr="0036105B">
        <w:rPr>
          <w:rFonts w:ascii="Arial" w:hAnsi="Arial" w:cs="Arial"/>
          <w:sz w:val="24"/>
          <w:szCs w:val="24"/>
        </w:rPr>
        <w:t xml:space="preserve">at </w:t>
      </w:r>
      <w:r w:rsidR="00C6554E" w:rsidRPr="0036105B">
        <w:rPr>
          <w:rFonts w:ascii="Arial" w:hAnsi="Arial" w:cs="Arial"/>
          <w:sz w:val="24"/>
          <w:szCs w:val="24"/>
        </w:rPr>
        <w:t xml:space="preserve">the </w:t>
      </w:r>
      <w:r w:rsidR="00326C1D" w:rsidRPr="0036105B">
        <w:rPr>
          <w:rFonts w:ascii="Arial" w:hAnsi="Arial" w:cs="Arial"/>
          <w:sz w:val="24"/>
          <w:szCs w:val="24"/>
        </w:rPr>
        <w:t xml:space="preserve">junction of this route with </w:t>
      </w:r>
      <w:r w:rsidR="00C6554E" w:rsidRPr="0036105B">
        <w:rPr>
          <w:rFonts w:ascii="Arial" w:hAnsi="Arial" w:cs="Arial"/>
          <w:sz w:val="24"/>
          <w:szCs w:val="24"/>
        </w:rPr>
        <w:t xml:space="preserve">the A428 Bedford Road </w:t>
      </w:r>
      <w:r w:rsidR="006A1976" w:rsidRPr="0036105B">
        <w:rPr>
          <w:rFonts w:ascii="Arial" w:hAnsi="Arial" w:cs="Arial"/>
          <w:sz w:val="24"/>
          <w:szCs w:val="24"/>
        </w:rPr>
        <w:t>to the</w:t>
      </w:r>
      <w:r w:rsidR="00C6554E" w:rsidRPr="0036105B">
        <w:rPr>
          <w:rFonts w:ascii="Arial" w:hAnsi="Arial" w:cs="Arial"/>
          <w:sz w:val="24"/>
          <w:szCs w:val="24"/>
        </w:rPr>
        <w:t xml:space="preserve"> </w:t>
      </w:r>
      <w:r w:rsidR="00326C1D" w:rsidRPr="0036105B">
        <w:rPr>
          <w:rFonts w:ascii="Arial" w:hAnsi="Arial" w:cs="Arial"/>
          <w:sz w:val="24"/>
          <w:szCs w:val="24"/>
        </w:rPr>
        <w:t xml:space="preserve">north </w:t>
      </w:r>
      <w:r w:rsidR="00C6554E" w:rsidRPr="0036105B">
        <w:rPr>
          <w:rFonts w:ascii="Arial" w:hAnsi="Arial" w:cs="Arial"/>
          <w:sz w:val="24"/>
          <w:szCs w:val="24"/>
        </w:rPr>
        <w:t>of the village</w:t>
      </w:r>
      <w:r w:rsidR="00EC575C" w:rsidRPr="0036105B">
        <w:rPr>
          <w:rFonts w:ascii="Arial" w:hAnsi="Arial" w:cs="Arial"/>
          <w:sz w:val="24"/>
          <w:szCs w:val="24"/>
        </w:rPr>
        <w:t xml:space="preserve"> needs to be re-considered</w:t>
      </w:r>
      <w:r w:rsidR="00C6554E" w:rsidRPr="0036105B">
        <w:rPr>
          <w:rFonts w:ascii="Arial" w:hAnsi="Arial" w:cs="Arial"/>
          <w:sz w:val="24"/>
          <w:szCs w:val="24"/>
        </w:rPr>
        <w:t>.</w:t>
      </w:r>
    </w:p>
    <w:p w14:paraId="4A466909" w14:textId="77777777" w:rsidR="00D653C8" w:rsidRPr="0036105B" w:rsidRDefault="00D653C8" w:rsidP="0036105B">
      <w:pPr>
        <w:pStyle w:val="ListParagraph"/>
        <w:spacing w:line="360" w:lineRule="auto"/>
        <w:rPr>
          <w:rFonts w:ascii="Arial" w:hAnsi="Arial" w:cs="Arial"/>
          <w:sz w:val="24"/>
          <w:szCs w:val="24"/>
        </w:rPr>
      </w:pPr>
    </w:p>
    <w:p w14:paraId="237F3E12" w14:textId="25D08F03" w:rsidR="002A6D80" w:rsidRPr="0036105B" w:rsidRDefault="00BE038B"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Great Houghton</w:t>
      </w:r>
      <w:r w:rsidR="00C6554E" w:rsidRPr="0036105B">
        <w:rPr>
          <w:rFonts w:ascii="Arial" w:hAnsi="Arial" w:cs="Arial"/>
          <w:sz w:val="24"/>
          <w:szCs w:val="24"/>
        </w:rPr>
        <w:t xml:space="preserve"> High Street </w:t>
      </w:r>
      <w:r w:rsidRPr="0036105B">
        <w:rPr>
          <w:rFonts w:ascii="Arial" w:hAnsi="Arial" w:cs="Arial"/>
          <w:sz w:val="24"/>
          <w:szCs w:val="24"/>
        </w:rPr>
        <w:t xml:space="preserve">(“The High Street”) runs north/south through the village and </w:t>
      </w:r>
      <w:r w:rsidR="00C6554E" w:rsidRPr="0036105B">
        <w:rPr>
          <w:rFonts w:ascii="Arial" w:hAnsi="Arial" w:cs="Arial"/>
          <w:sz w:val="24"/>
          <w:szCs w:val="24"/>
        </w:rPr>
        <w:t>is single carriageway</w:t>
      </w:r>
      <w:r w:rsidR="007012FD" w:rsidRPr="0036105B">
        <w:rPr>
          <w:rFonts w:ascii="Arial" w:hAnsi="Arial" w:cs="Arial"/>
          <w:sz w:val="24"/>
          <w:szCs w:val="24"/>
        </w:rPr>
        <w:t xml:space="preserve"> in both directions</w:t>
      </w:r>
      <w:r w:rsidRPr="0036105B">
        <w:rPr>
          <w:rFonts w:ascii="Arial" w:hAnsi="Arial" w:cs="Arial"/>
          <w:sz w:val="24"/>
          <w:szCs w:val="24"/>
        </w:rPr>
        <w:t xml:space="preserve">. The High Street is </w:t>
      </w:r>
      <w:r w:rsidR="00C6554E" w:rsidRPr="0036105B">
        <w:rPr>
          <w:rFonts w:ascii="Arial" w:hAnsi="Arial" w:cs="Arial"/>
          <w:sz w:val="24"/>
          <w:szCs w:val="24"/>
        </w:rPr>
        <w:t xml:space="preserve">narrow, with parked cars at various points, especially where </w:t>
      </w:r>
      <w:r w:rsidRPr="0036105B">
        <w:rPr>
          <w:rFonts w:ascii="Arial" w:hAnsi="Arial" w:cs="Arial"/>
          <w:sz w:val="24"/>
          <w:szCs w:val="24"/>
        </w:rPr>
        <w:t>local homes have no off-street car parking</w:t>
      </w:r>
      <w:r w:rsidR="00C6554E" w:rsidRPr="0036105B">
        <w:rPr>
          <w:rFonts w:ascii="Arial" w:hAnsi="Arial" w:cs="Arial"/>
          <w:sz w:val="24"/>
          <w:szCs w:val="24"/>
        </w:rPr>
        <w:t xml:space="preserve">. </w:t>
      </w:r>
      <w:r w:rsidRPr="0036105B">
        <w:rPr>
          <w:rFonts w:ascii="Arial" w:hAnsi="Arial" w:cs="Arial"/>
          <w:sz w:val="24"/>
          <w:szCs w:val="24"/>
        </w:rPr>
        <w:t xml:space="preserve">This reduces traffic speeds and creates numerous bottlenecks. </w:t>
      </w:r>
      <w:r w:rsidR="0079113E" w:rsidRPr="0036105B">
        <w:rPr>
          <w:rFonts w:ascii="Arial" w:hAnsi="Arial" w:cs="Arial"/>
          <w:sz w:val="24"/>
          <w:szCs w:val="24"/>
        </w:rPr>
        <w:t>Nevertheless,</w:t>
      </w:r>
      <w:r w:rsidRPr="0036105B">
        <w:rPr>
          <w:rFonts w:ascii="Arial" w:hAnsi="Arial" w:cs="Arial"/>
          <w:sz w:val="24"/>
          <w:szCs w:val="24"/>
        </w:rPr>
        <w:t xml:space="preserve"> some </w:t>
      </w:r>
      <w:r w:rsidR="00B76B52" w:rsidRPr="0036105B">
        <w:rPr>
          <w:rFonts w:ascii="Arial" w:hAnsi="Arial" w:cs="Arial"/>
          <w:sz w:val="24"/>
          <w:szCs w:val="24"/>
        </w:rPr>
        <w:t>drivers</w:t>
      </w:r>
      <w:r w:rsidR="007012FD" w:rsidRPr="0036105B">
        <w:rPr>
          <w:rFonts w:ascii="Arial" w:hAnsi="Arial" w:cs="Arial"/>
          <w:sz w:val="24"/>
          <w:szCs w:val="24"/>
        </w:rPr>
        <w:t xml:space="preserve"> and cyclists</w:t>
      </w:r>
      <w:r w:rsidR="00B76B52" w:rsidRPr="0036105B">
        <w:rPr>
          <w:rFonts w:ascii="Arial" w:hAnsi="Arial" w:cs="Arial"/>
          <w:sz w:val="24"/>
          <w:szCs w:val="24"/>
        </w:rPr>
        <w:t xml:space="preserve"> speed</w:t>
      </w:r>
      <w:r w:rsidRPr="0036105B">
        <w:rPr>
          <w:rFonts w:ascii="Arial" w:hAnsi="Arial" w:cs="Arial"/>
          <w:sz w:val="24"/>
          <w:szCs w:val="24"/>
        </w:rPr>
        <w:t>, particularly when heading downhill in a northward direction</w:t>
      </w:r>
      <w:r w:rsidR="00B76B52" w:rsidRPr="0036105B">
        <w:rPr>
          <w:rFonts w:ascii="Arial" w:hAnsi="Arial" w:cs="Arial"/>
          <w:sz w:val="24"/>
          <w:szCs w:val="24"/>
        </w:rPr>
        <w:t>.</w:t>
      </w:r>
    </w:p>
    <w:p w14:paraId="308D2558" w14:textId="77777777" w:rsidR="00D653C8" w:rsidRPr="0036105B" w:rsidRDefault="00D653C8" w:rsidP="0036105B">
      <w:pPr>
        <w:pStyle w:val="ListParagraph"/>
        <w:spacing w:line="360" w:lineRule="auto"/>
        <w:rPr>
          <w:rFonts w:ascii="Arial" w:hAnsi="Arial" w:cs="Arial"/>
          <w:sz w:val="24"/>
          <w:szCs w:val="24"/>
        </w:rPr>
      </w:pPr>
    </w:p>
    <w:p w14:paraId="2A4BBFB5" w14:textId="6EB3EF83" w:rsidR="002A1F9B" w:rsidRPr="00FA2C29" w:rsidRDefault="00124AB3" w:rsidP="0036105B">
      <w:pPr>
        <w:pStyle w:val="ListParagraph"/>
        <w:numPr>
          <w:ilvl w:val="0"/>
          <w:numId w:val="5"/>
        </w:numPr>
        <w:spacing w:line="360" w:lineRule="auto"/>
        <w:rPr>
          <w:rFonts w:ascii="Arial" w:hAnsi="Arial" w:cs="Arial"/>
          <w:color w:val="000000" w:themeColor="text1"/>
          <w:sz w:val="24"/>
          <w:szCs w:val="24"/>
        </w:rPr>
      </w:pPr>
      <w:r w:rsidRPr="0036105B">
        <w:rPr>
          <w:rFonts w:ascii="Arial" w:eastAsia="Calibri" w:hAnsi="Arial" w:cs="Arial"/>
          <w:sz w:val="24"/>
          <w:szCs w:val="24"/>
        </w:rPr>
        <w:t xml:space="preserve">Pedestrians using the length of the High Street have to </w:t>
      </w:r>
      <w:r w:rsidR="00C50230">
        <w:rPr>
          <w:rFonts w:ascii="Arial" w:eastAsia="Calibri" w:hAnsi="Arial" w:cs="Arial"/>
          <w:sz w:val="24"/>
          <w:szCs w:val="24"/>
        </w:rPr>
        <w:t xml:space="preserve">regularly </w:t>
      </w:r>
      <w:r w:rsidRPr="0036105B">
        <w:rPr>
          <w:rFonts w:ascii="Arial" w:eastAsia="Calibri" w:hAnsi="Arial" w:cs="Arial"/>
          <w:sz w:val="24"/>
          <w:szCs w:val="24"/>
        </w:rPr>
        <w:t xml:space="preserve">cross the road </w:t>
      </w:r>
      <w:r w:rsidR="002A6D80" w:rsidRPr="0036105B">
        <w:rPr>
          <w:rFonts w:ascii="Arial" w:eastAsia="Calibri" w:hAnsi="Arial" w:cs="Arial"/>
          <w:sz w:val="24"/>
          <w:szCs w:val="24"/>
        </w:rPr>
        <w:t xml:space="preserve">as there is pavement on one side only </w:t>
      </w:r>
      <w:r w:rsidR="00B846BA" w:rsidRPr="0036105B">
        <w:rPr>
          <w:rFonts w:ascii="Arial" w:eastAsia="Calibri" w:hAnsi="Arial" w:cs="Arial"/>
          <w:sz w:val="24"/>
          <w:szCs w:val="24"/>
        </w:rPr>
        <w:t>in places</w:t>
      </w:r>
      <w:r w:rsidR="002A6D80" w:rsidRPr="0036105B">
        <w:rPr>
          <w:rFonts w:ascii="Arial" w:eastAsia="Calibri" w:hAnsi="Arial" w:cs="Arial"/>
          <w:sz w:val="24"/>
          <w:szCs w:val="24"/>
        </w:rPr>
        <w:t xml:space="preserve">. This includes children using school buses </w:t>
      </w:r>
      <w:r w:rsidR="00495F61" w:rsidRPr="0036105B">
        <w:rPr>
          <w:rFonts w:ascii="Arial" w:eastAsia="Calibri" w:hAnsi="Arial" w:cs="Arial"/>
          <w:sz w:val="24"/>
          <w:szCs w:val="24"/>
        </w:rPr>
        <w:t xml:space="preserve">from Little Houghton Primary School and Wollaston School </w:t>
      </w:r>
      <w:r w:rsidR="00882E81" w:rsidRPr="0036105B">
        <w:rPr>
          <w:rFonts w:ascii="Arial" w:eastAsia="Calibri" w:hAnsi="Arial" w:cs="Arial"/>
          <w:sz w:val="24"/>
          <w:szCs w:val="24"/>
        </w:rPr>
        <w:t>and anyone using the Village Hopper bus (they all</w:t>
      </w:r>
      <w:r w:rsidR="002A6D80" w:rsidRPr="0036105B">
        <w:rPr>
          <w:rFonts w:ascii="Arial" w:eastAsia="Calibri" w:hAnsi="Arial" w:cs="Arial"/>
          <w:sz w:val="24"/>
          <w:szCs w:val="24"/>
        </w:rPr>
        <w:t xml:space="preserve"> stop at the White Hart pub</w:t>
      </w:r>
      <w:r w:rsidR="00882E81" w:rsidRPr="0036105B">
        <w:rPr>
          <w:rFonts w:ascii="Arial" w:eastAsia="Calibri" w:hAnsi="Arial" w:cs="Arial"/>
          <w:color w:val="000000" w:themeColor="text1"/>
          <w:sz w:val="24"/>
          <w:szCs w:val="24"/>
        </w:rPr>
        <w:t>)</w:t>
      </w:r>
      <w:r w:rsidR="002A6D80" w:rsidRPr="0036105B">
        <w:rPr>
          <w:rFonts w:ascii="Arial" w:eastAsia="Calibri" w:hAnsi="Arial" w:cs="Arial"/>
          <w:color w:val="000000" w:themeColor="text1"/>
          <w:sz w:val="24"/>
          <w:szCs w:val="24"/>
        </w:rPr>
        <w:t>.</w:t>
      </w:r>
    </w:p>
    <w:p w14:paraId="6BA7664C" w14:textId="77777777" w:rsidR="00FA2C29" w:rsidRPr="00FA2C29" w:rsidRDefault="00FA2C29" w:rsidP="00FA2C29">
      <w:pPr>
        <w:pStyle w:val="ListParagraph"/>
        <w:spacing w:line="360" w:lineRule="auto"/>
        <w:rPr>
          <w:rFonts w:ascii="Arial" w:hAnsi="Arial" w:cs="Arial"/>
          <w:color w:val="000000" w:themeColor="text1"/>
          <w:sz w:val="24"/>
          <w:szCs w:val="24"/>
        </w:rPr>
      </w:pPr>
    </w:p>
    <w:p w14:paraId="4D61CE1A" w14:textId="44634DEC" w:rsidR="00FA2C29" w:rsidRPr="00FA2C29" w:rsidRDefault="00FA2C29" w:rsidP="00FA2C29">
      <w:pPr>
        <w:pStyle w:val="ListParagraph"/>
        <w:numPr>
          <w:ilvl w:val="0"/>
          <w:numId w:val="5"/>
        </w:numPr>
        <w:spacing w:line="360" w:lineRule="auto"/>
        <w:ind w:left="714" w:hanging="357"/>
        <w:rPr>
          <w:rFonts w:ascii="Arial" w:hAnsi="Arial" w:cs="Arial"/>
          <w:color w:val="000000" w:themeColor="text1"/>
          <w:sz w:val="24"/>
          <w:szCs w:val="24"/>
        </w:rPr>
      </w:pPr>
      <w:r w:rsidRPr="00FA2C29">
        <w:rPr>
          <w:rFonts w:ascii="Arial" w:hAnsi="Arial" w:cs="Arial"/>
          <w:color w:val="000000" w:themeColor="text1"/>
          <w:sz w:val="24"/>
          <w:szCs w:val="24"/>
        </w:rPr>
        <w:t>National Cycle Route 6 passes up the High Street from the disused railway line at the Glebe and then passes along the Green. It is well used</w:t>
      </w:r>
      <w:r w:rsidR="00C50230">
        <w:rPr>
          <w:rFonts w:ascii="Arial" w:hAnsi="Arial" w:cs="Arial"/>
          <w:color w:val="000000" w:themeColor="text1"/>
          <w:sz w:val="24"/>
          <w:szCs w:val="24"/>
        </w:rPr>
        <w:t xml:space="preserve"> and provides an opportunity to improve </w:t>
      </w:r>
      <w:r w:rsidRPr="00FA2C29">
        <w:rPr>
          <w:rFonts w:ascii="Arial" w:hAnsi="Arial" w:cs="Arial"/>
          <w:color w:val="000000" w:themeColor="text1"/>
          <w:sz w:val="24"/>
          <w:szCs w:val="24"/>
        </w:rPr>
        <w:t>health and active lifestyle</w:t>
      </w:r>
      <w:r w:rsidR="00C50230">
        <w:rPr>
          <w:rFonts w:ascii="Arial" w:hAnsi="Arial" w:cs="Arial"/>
          <w:color w:val="000000" w:themeColor="text1"/>
          <w:sz w:val="24"/>
          <w:szCs w:val="24"/>
        </w:rPr>
        <w:t>s</w:t>
      </w:r>
      <w:r w:rsidRPr="00FA2C29">
        <w:rPr>
          <w:rFonts w:ascii="Arial" w:hAnsi="Arial" w:cs="Arial"/>
          <w:color w:val="000000" w:themeColor="text1"/>
          <w:sz w:val="24"/>
          <w:szCs w:val="24"/>
        </w:rPr>
        <w:t xml:space="preserve">. However, there is an incompatibility between these aims and the additional traffic created by </w:t>
      </w:r>
      <w:r w:rsidR="00C50230">
        <w:rPr>
          <w:rFonts w:ascii="Arial" w:hAnsi="Arial" w:cs="Arial"/>
          <w:color w:val="000000" w:themeColor="text1"/>
          <w:sz w:val="24"/>
          <w:szCs w:val="24"/>
        </w:rPr>
        <w:t xml:space="preserve">development at The Green that </w:t>
      </w:r>
      <w:r w:rsidRPr="00FA2C29">
        <w:rPr>
          <w:rFonts w:ascii="Arial" w:hAnsi="Arial" w:cs="Arial"/>
          <w:color w:val="000000" w:themeColor="text1"/>
          <w:sz w:val="24"/>
          <w:szCs w:val="24"/>
        </w:rPr>
        <w:t xml:space="preserve">will </w:t>
      </w:r>
      <w:r w:rsidR="00C50230">
        <w:rPr>
          <w:rFonts w:ascii="Arial" w:hAnsi="Arial" w:cs="Arial"/>
          <w:color w:val="000000" w:themeColor="text1"/>
          <w:sz w:val="24"/>
          <w:szCs w:val="24"/>
        </w:rPr>
        <w:t xml:space="preserve">use </w:t>
      </w:r>
      <w:r w:rsidRPr="00FA2C29">
        <w:rPr>
          <w:rFonts w:ascii="Arial" w:hAnsi="Arial" w:cs="Arial"/>
          <w:color w:val="000000" w:themeColor="text1"/>
          <w:sz w:val="24"/>
          <w:szCs w:val="24"/>
        </w:rPr>
        <w:t>the cycle route, making it significantly less safe for cyclists</w:t>
      </w:r>
      <w:r w:rsidR="00C50230">
        <w:rPr>
          <w:rFonts w:ascii="Arial" w:hAnsi="Arial" w:cs="Arial"/>
          <w:color w:val="000000" w:themeColor="text1"/>
          <w:sz w:val="24"/>
          <w:szCs w:val="24"/>
        </w:rPr>
        <w:t xml:space="preserve"> and deterring users of this mode of travel.</w:t>
      </w:r>
    </w:p>
    <w:p w14:paraId="4B6F8EBA" w14:textId="77777777" w:rsidR="00FA2C29" w:rsidRPr="0036105B" w:rsidRDefault="00FA2C29" w:rsidP="00FA2C29">
      <w:pPr>
        <w:pStyle w:val="ListParagraph"/>
        <w:spacing w:line="360" w:lineRule="auto"/>
        <w:rPr>
          <w:rFonts w:ascii="Arial" w:hAnsi="Arial" w:cs="Arial"/>
          <w:color w:val="000000" w:themeColor="text1"/>
          <w:sz w:val="24"/>
          <w:szCs w:val="24"/>
        </w:rPr>
      </w:pPr>
    </w:p>
    <w:p w14:paraId="26FBC44E" w14:textId="3190FDDB" w:rsidR="002A6D80" w:rsidRPr="0036105B" w:rsidRDefault="002A1F9B"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 xml:space="preserve">The High Street is not suitable for HGVs. </w:t>
      </w:r>
      <w:r w:rsidR="00124AB3" w:rsidRPr="0036105B">
        <w:rPr>
          <w:rFonts w:ascii="Arial" w:hAnsi="Arial" w:cs="Arial"/>
          <w:sz w:val="24"/>
          <w:szCs w:val="24"/>
        </w:rPr>
        <w:t>F</w:t>
      </w:r>
      <w:r w:rsidR="00B846BA" w:rsidRPr="0036105B">
        <w:rPr>
          <w:rFonts w:ascii="Arial" w:hAnsi="Arial" w:cs="Arial"/>
          <w:sz w:val="24"/>
          <w:szCs w:val="24"/>
        </w:rPr>
        <w:t xml:space="preserve">ormal </w:t>
      </w:r>
      <w:r w:rsidR="00882E81" w:rsidRPr="0036105B">
        <w:rPr>
          <w:rFonts w:ascii="Arial" w:hAnsi="Arial" w:cs="Arial"/>
          <w:sz w:val="24"/>
          <w:szCs w:val="24"/>
        </w:rPr>
        <w:t xml:space="preserve">warning signs </w:t>
      </w:r>
      <w:r w:rsidR="00124AB3" w:rsidRPr="0036105B">
        <w:rPr>
          <w:rFonts w:ascii="Arial" w:hAnsi="Arial" w:cs="Arial"/>
          <w:sz w:val="24"/>
          <w:szCs w:val="24"/>
        </w:rPr>
        <w:t xml:space="preserve">have been placed </w:t>
      </w:r>
      <w:r w:rsidR="00882E81" w:rsidRPr="0036105B">
        <w:rPr>
          <w:rFonts w:ascii="Arial" w:hAnsi="Arial" w:cs="Arial"/>
          <w:sz w:val="24"/>
          <w:szCs w:val="24"/>
        </w:rPr>
        <w:t xml:space="preserve">with regard to </w:t>
      </w:r>
      <w:r w:rsidR="00124AB3" w:rsidRPr="0036105B">
        <w:rPr>
          <w:rFonts w:ascii="Arial" w:hAnsi="Arial" w:cs="Arial"/>
          <w:sz w:val="24"/>
          <w:szCs w:val="24"/>
        </w:rPr>
        <w:t>HGVs</w:t>
      </w:r>
      <w:r w:rsidR="00882E81" w:rsidRPr="0036105B">
        <w:rPr>
          <w:rFonts w:ascii="Arial" w:hAnsi="Arial" w:cs="Arial"/>
          <w:sz w:val="24"/>
          <w:szCs w:val="24"/>
        </w:rPr>
        <w:t xml:space="preserve"> </w:t>
      </w:r>
      <w:r w:rsidR="00124AB3" w:rsidRPr="0036105B">
        <w:rPr>
          <w:rFonts w:ascii="Arial" w:hAnsi="Arial" w:cs="Arial"/>
          <w:sz w:val="24"/>
          <w:szCs w:val="24"/>
        </w:rPr>
        <w:t>entering</w:t>
      </w:r>
      <w:r w:rsidR="00882E81" w:rsidRPr="0036105B">
        <w:rPr>
          <w:rFonts w:ascii="Arial" w:hAnsi="Arial" w:cs="Arial"/>
          <w:sz w:val="24"/>
          <w:szCs w:val="24"/>
        </w:rPr>
        <w:t xml:space="preserve"> the village.</w:t>
      </w:r>
      <w:r w:rsidR="00124AB3" w:rsidRPr="0036105B">
        <w:rPr>
          <w:rFonts w:ascii="Arial" w:hAnsi="Arial" w:cs="Arial"/>
          <w:sz w:val="24"/>
          <w:szCs w:val="24"/>
        </w:rPr>
        <w:t xml:space="preserve"> This does not deter such use and leads to such vehicles mounting footways.</w:t>
      </w:r>
    </w:p>
    <w:p w14:paraId="22679453" w14:textId="77777777" w:rsidR="009968C2" w:rsidRPr="0036105B" w:rsidRDefault="009968C2" w:rsidP="0036105B">
      <w:pPr>
        <w:pStyle w:val="ListParagraph"/>
        <w:spacing w:line="360" w:lineRule="auto"/>
        <w:rPr>
          <w:rFonts w:ascii="Arial" w:hAnsi="Arial" w:cs="Arial"/>
          <w:sz w:val="24"/>
          <w:szCs w:val="24"/>
        </w:rPr>
      </w:pPr>
    </w:p>
    <w:p w14:paraId="788F9E9F" w14:textId="643155E4" w:rsidR="002A6D80" w:rsidRPr="0036105B" w:rsidRDefault="002A6D80" w:rsidP="0036105B">
      <w:pPr>
        <w:pStyle w:val="ListParagraph"/>
        <w:numPr>
          <w:ilvl w:val="0"/>
          <w:numId w:val="5"/>
        </w:numPr>
        <w:suppressAutoHyphens/>
        <w:autoSpaceDN w:val="0"/>
        <w:spacing w:after="200" w:line="360" w:lineRule="auto"/>
        <w:textAlignment w:val="baseline"/>
        <w:rPr>
          <w:rFonts w:ascii="Arial" w:hAnsi="Arial" w:cs="Arial"/>
          <w:sz w:val="24"/>
          <w:szCs w:val="24"/>
        </w:rPr>
      </w:pPr>
      <w:r w:rsidRPr="0036105B">
        <w:rPr>
          <w:rFonts w:ascii="Arial" w:hAnsi="Arial" w:cs="Arial"/>
          <w:sz w:val="24"/>
          <w:szCs w:val="24"/>
        </w:rPr>
        <w:t xml:space="preserve">There are roughly 300 homes in Great Houghton. If 800 </w:t>
      </w:r>
      <w:r w:rsidR="00EC575C" w:rsidRPr="0036105B">
        <w:rPr>
          <w:rFonts w:ascii="Arial" w:hAnsi="Arial" w:cs="Arial"/>
          <w:sz w:val="24"/>
          <w:szCs w:val="24"/>
        </w:rPr>
        <w:t xml:space="preserve">new homes </w:t>
      </w:r>
      <w:r w:rsidRPr="0036105B">
        <w:rPr>
          <w:rFonts w:ascii="Arial" w:hAnsi="Arial" w:cs="Arial"/>
          <w:sz w:val="24"/>
          <w:szCs w:val="24"/>
        </w:rPr>
        <w:t xml:space="preserve">are </w:t>
      </w:r>
      <w:r w:rsidR="00EC575C" w:rsidRPr="0036105B">
        <w:rPr>
          <w:rFonts w:ascii="Arial" w:hAnsi="Arial" w:cs="Arial"/>
          <w:sz w:val="24"/>
          <w:szCs w:val="24"/>
        </w:rPr>
        <w:t xml:space="preserve">to be </w:t>
      </w:r>
      <w:r w:rsidRPr="0036105B">
        <w:rPr>
          <w:rFonts w:ascii="Arial" w:hAnsi="Arial" w:cs="Arial"/>
          <w:sz w:val="24"/>
          <w:szCs w:val="24"/>
        </w:rPr>
        <w:t xml:space="preserve">built on </w:t>
      </w:r>
      <w:r w:rsidR="00EC575C" w:rsidRPr="0036105B">
        <w:rPr>
          <w:rFonts w:ascii="Arial" w:hAnsi="Arial" w:cs="Arial"/>
          <w:sz w:val="24"/>
          <w:szCs w:val="24"/>
        </w:rPr>
        <w:t>The Green housing allocation</w:t>
      </w:r>
      <w:r w:rsidRPr="0036105B">
        <w:rPr>
          <w:rFonts w:ascii="Arial" w:hAnsi="Arial" w:cs="Arial"/>
          <w:sz w:val="24"/>
          <w:szCs w:val="24"/>
        </w:rPr>
        <w:t xml:space="preserve">, </w:t>
      </w:r>
      <w:r w:rsidR="00EC575C" w:rsidRPr="0036105B">
        <w:rPr>
          <w:rFonts w:ascii="Arial" w:hAnsi="Arial" w:cs="Arial"/>
          <w:sz w:val="24"/>
          <w:szCs w:val="24"/>
        </w:rPr>
        <w:t xml:space="preserve">and assuming a </w:t>
      </w:r>
      <w:r w:rsidR="001C4834" w:rsidRPr="0036105B">
        <w:rPr>
          <w:rFonts w:ascii="Arial" w:hAnsi="Arial" w:cs="Arial"/>
          <w:sz w:val="24"/>
          <w:szCs w:val="24"/>
        </w:rPr>
        <w:t xml:space="preserve">minimum of </w:t>
      </w:r>
      <w:r w:rsidRPr="0036105B">
        <w:rPr>
          <w:rFonts w:ascii="Arial" w:hAnsi="Arial" w:cs="Arial"/>
          <w:sz w:val="24"/>
          <w:szCs w:val="24"/>
        </w:rPr>
        <w:t xml:space="preserve">2 cars </w:t>
      </w:r>
      <w:r w:rsidR="001C4834" w:rsidRPr="0036105B">
        <w:rPr>
          <w:rFonts w:ascii="Arial" w:hAnsi="Arial" w:cs="Arial"/>
          <w:sz w:val="24"/>
          <w:szCs w:val="24"/>
        </w:rPr>
        <w:t xml:space="preserve">per new dwelling, </w:t>
      </w:r>
      <w:r w:rsidR="00A53316" w:rsidRPr="0036105B">
        <w:rPr>
          <w:rFonts w:ascii="Arial" w:hAnsi="Arial" w:cs="Arial"/>
          <w:sz w:val="24"/>
          <w:szCs w:val="24"/>
        </w:rPr>
        <w:t>1,600 extra vehicles</w:t>
      </w:r>
      <w:r w:rsidR="00C50230">
        <w:rPr>
          <w:rFonts w:ascii="Arial" w:hAnsi="Arial" w:cs="Arial"/>
          <w:sz w:val="24"/>
          <w:szCs w:val="24"/>
        </w:rPr>
        <w:t xml:space="preserve"> will potentially use The Green. The </w:t>
      </w:r>
      <w:r w:rsidR="001C4834" w:rsidRPr="0036105B">
        <w:rPr>
          <w:rFonts w:ascii="Arial" w:hAnsi="Arial" w:cs="Arial"/>
          <w:sz w:val="24"/>
          <w:szCs w:val="24"/>
        </w:rPr>
        <w:t xml:space="preserve">County Council assumption </w:t>
      </w:r>
      <w:r w:rsidR="00C50230">
        <w:rPr>
          <w:rFonts w:ascii="Arial" w:hAnsi="Arial" w:cs="Arial"/>
          <w:sz w:val="24"/>
          <w:szCs w:val="24"/>
        </w:rPr>
        <w:t xml:space="preserve">is that The Green </w:t>
      </w:r>
      <w:r w:rsidR="001C4834" w:rsidRPr="0036105B">
        <w:rPr>
          <w:rFonts w:ascii="Arial" w:hAnsi="Arial" w:cs="Arial"/>
          <w:sz w:val="24"/>
          <w:szCs w:val="24"/>
        </w:rPr>
        <w:t xml:space="preserve">(with significant upgrading) </w:t>
      </w:r>
      <w:r w:rsidR="00715FA9">
        <w:rPr>
          <w:rFonts w:ascii="Arial" w:hAnsi="Arial" w:cs="Arial"/>
          <w:sz w:val="24"/>
          <w:szCs w:val="24"/>
        </w:rPr>
        <w:t xml:space="preserve">will be used, but that assumption fails to take into account the impact on the </w:t>
      </w:r>
      <w:r w:rsidRPr="0036105B">
        <w:rPr>
          <w:rFonts w:ascii="Arial" w:hAnsi="Arial" w:cs="Arial"/>
          <w:sz w:val="24"/>
          <w:szCs w:val="24"/>
        </w:rPr>
        <w:t>High Street, us</w:t>
      </w:r>
      <w:r w:rsidR="00661A5C" w:rsidRPr="0036105B">
        <w:rPr>
          <w:rFonts w:ascii="Arial" w:hAnsi="Arial" w:cs="Arial"/>
          <w:sz w:val="24"/>
          <w:szCs w:val="24"/>
        </w:rPr>
        <w:t>age</w:t>
      </w:r>
      <w:r w:rsidRPr="0036105B">
        <w:rPr>
          <w:rFonts w:ascii="Arial" w:hAnsi="Arial" w:cs="Arial"/>
          <w:sz w:val="24"/>
          <w:szCs w:val="24"/>
        </w:rPr>
        <w:t xml:space="preserve"> </w:t>
      </w:r>
      <w:r w:rsidR="001C4834" w:rsidRPr="0036105B">
        <w:rPr>
          <w:rFonts w:ascii="Arial" w:hAnsi="Arial" w:cs="Arial"/>
          <w:sz w:val="24"/>
          <w:szCs w:val="24"/>
        </w:rPr>
        <w:t xml:space="preserve">and detrimental impact </w:t>
      </w:r>
      <w:r w:rsidRPr="0036105B">
        <w:rPr>
          <w:rFonts w:ascii="Arial" w:hAnsi="Arial" w:cs="Arial"/>
          <w:sz w:val="24"/>
          <w:szCs w:val="24"/>
        </w:rPr>
        <w:t>will increase significantly</w:t>
      </w:r>
      <w:r w:rsidR="001C4834" w:rsidRPr="0036105B">
        <w:rPr>
          <w:rFonts w:ascii="Arial" w:hAnsi="Arial" w:cs="Arial"/>
          <w:sz w:val="24"/>
          <w:szCs w:val="24"/>
        </w:rPr>
        <w:t>.</w:t>
      </w:r>
    </w:p>
    <w:p w14:paraId="198AF512" w14:textId="77777777" w:rsidR="009968C2" w:rsidRPr="0036105B" w:rsidRDefault="009968C2" w:rsidP="0036105B">
      <w:pPr>
        <w:pStyle w:val="ListParagraph"/>
        <w:spacing w:line="360" w:lineRule="auto"/>
        <w:rPr>
          <w:rFonts w:ascii="Arial" w:hAnsi="Arial" w:cs="Arial"/>
          <w:b/>
          <w:bCs/>
          <w:sz w:val="24"/>
          <w:szCs w:val="24"/>
        </w:rPr>
      </w:pPr>
    </w:p>
    <w:p w14:paraId="166CBD0F" w14:textId="5D7EDDB0" w:rsidR="009968C2" w:rsidRDefault="00186E09" w:rsidP="0036105B">
      <w:pPr>
        <w:pStyle w:val="ListParagraph"/>
        <w:numPr>
          <w:ilvl w:val="0"/>
          <w:numId w:val="5"/>
        </w:numPr>
        <w:spacing w:line="360" w:lineRule="auto"/>
        <w:rPr>
          <w:rFonts w:ascii="Arial" w:hAnsi="Arial" w:cs="Arial"/>
          <w:sz w:val="24"/>
          <w:szCs w:val="24"/>
        </w:rPr>
      </w:pPr>
      <w:r w:rsidRPr="002620B9">
        <w:rPr>
          <w:rFonts w:ascii="Arial" w:hAnsi="Arial" w:cs="Arial"/>
          <w:sz w:val="24"/>
          <w:szCs w:val="24"/>
        </w:rPr>
        <w:t xml:space="preserve">At the north of the village the High Street meets the </w:t>
      </w:r>
      <w:r w:rsidR="00495F61" w:rsidRPr="002620B9">
        <w:rPr>
          <w:rFonts w:ascii="Arial" w:hAnsi="Arial" w:cs="Arial"/>
          <w:sz w:val="24"/>
          <w:szCs w:val="24"/>
        </w:rPr>
        <w:t xml:space="preserve">A428. </w:t>
      </w:r>
      <w:r w:rsidR="00C6554E" w:rsidRPr="002620B9">
        <w:rPr>
          <w:rFonts w:ascii="Arial" w:hAnsi="Arial" w:cs="Arial"/>
          <w:sz w:val="24"/>
          <w:szCs w:val="24"/>
        </w:rPr>
        <w:t xml:space="preserve">The A428 </w:t>
      </w:r>
      <w:r w:rsidR="002A6D80" w:rsidRPr="002620B9">
        <w:rPr>
          <w:rFonts w:ascii="Arial" w:hAnsi="Arial" w:cs="Arial"/>
          <w:sz w:val="24"/>
          <w:szCs w:val="24"/>
        </w:rPr>
        <w:t>has</w:t>
      </w:r>
      <w:r w:rsidR="00C6554E" w:rsidRPr="002620B9">
        <w:rPr>
          <w:rFonts w:ascii="Arial" w:hAnsi="Arial" w:cs="Arial"/>
          <w:sz w:val="24"/>
          <w:szCs w:val="24"/>
        </w:rPr>
        <w:t xml:space="preserve"> a 60mph </w:t>
      </w:r>
      <w:r w:rsidR="002A6D80" w:rsidRPr="002620B9">
        <w:rPr>
          <w:rFonts w:ascii="Arial" w:hAnsi="Arial" w:cs="Arial"/>
          <w:sz w:val="24"/>
          <w:szCs w:val="24"/>
        </w:rPr>
        <w:t>speed limit</w:t>
      </w:r>
      <w:r w:rsidR="00C6554E" w:rsidRPr="002620B9">
        <w:rPr>
          <w:rFonts w:ascii="Arial" w:hAnsi="Arial" w:cs="Arial"/>
          <w:sz w:val="24"/>
          <w:szCs w:val="24"/>
        </w:rPr>
        <w:t xml:space="preserve">. </w:t>
      </w:r>
      <w:r w:rsidR="007E5447" w:rsidRPr="002620B9">
        <w:rPr>
          <w:rFonts w:ascii="Arial" w:hAnsi="Arial" w:cs="Arial"/>
          <w:sz w:val="24"/>
          <w:szCs w:val="24"/>
        </w:rPr>
        <w:t xml:space="preserve">There have been accidents, including fatalities, at the junction. </w:t>
      </w:r>
      <w:r w:rsidRPr="002620B9">
        <w:rPr>
          <w:rFonts w:ascii="Arial" w:hAnsi="Arial" w:cs="Arial"/>
          <w:sz w:val="24"/>
          <w:szCs w:val="24"/>
        </w:rPr>
        <w:t xml:space="preserve">Villagers must use this junction and turn east to access </w:t>
      </w:r>
      <w:r w:rsidR="00C6554E" w:rsidRPr="002620B9">
        <w:rPr>
          <w:rFonts w:ascii="Arial" w:hAnsi="Arial" w:cs="Arial"/>
          <w:sz w:val="24"/>
          <w:szCs w:val="24"/>
        </w:rPr>
        <w:t>the local school/Post Office/church which</w:t>
      </w:r>
      <w:r w:rsidR="00B846BA" w:rsidRPr="002620B9">
        <w:rPr>
          <w:rFonts w:ascii="Arial" w:hAnsi="Arial" w:cs="Arial"/>
          <w:sz w:val="24"/>
          <w:szCs w:val="24"/>
        </w:rPr>
        <w:t xml:space="preserve"> </w:t>
      </w:r>
      <w:r w:rsidR="00C6554E" w:rsidRPr="002620B9">
        <w:rPr>
          <w:rFonts w:ascii="Arial" w:hAnsi="Arial" w:cs="Arial"/>
          <w:sz w:val="24"/>
          <w:szCs w:val="24"/>
        </w:rPr>
        <w:t>are all</w:t>
      </w:r>
      <w:r w:rsidR="00B76B52" w:rsidRPr="002620B9">
        <w:rPr>
          <w:rFonts w:ascii="Arial" w:hAnsi="Arial" w:cs="Arial"/>
          <w:sz w:val="24"/>
          <w:szCs w:val="24"/>
        </w:rPr>
        <w:t xml:space="preserve"> </w:t>
      </w:r>
      <w:r w:rsidR="00C6554E" w:rsidRPr="002620B9">
        <w:rPr>
          <w:rFonts w:ascii="Arial" w:hAnsi="Arial" w:cs="Arial"/>
          <w:sz w:val="24"/>
          <w:szCs w:val="24"/>
        </w:rPr>
        <w:t>in Little Houghton</w:t>
      </w:r>
      <w:r w:rsidRPr="002620B9">
        <w:rPr>
          <w:rFonts w:ascii="Arial" w:hAnsi="Arial" w:cs="Arial"/>
          <w:sz w:val="24"/>
          <w:szCs w:val="24"/>
        </w:rPr>
        <w:t>. This manoeuvre</w:t>
      </w:r>
      <w:r w:rsidR="00C6554E" w:rsidRPr="002620B9">
        <w:rPr>
          <w:rFonts w:ascii="Arial" w:hAnsi="Arial" w:cs="Arial"/>
          <w:sz w:val="24"/>
          <w:szCs w:val="24"/>
        </w:rPr>
        <w:t xml:space="preserve"> </w:t>
      </w:r>
      <w:r w:rsidRPr="002620B9">
        <w:rPr>
          <w:rFonts w:ascii="Arial" w:hAnsi="Arial" w:cs="Arial"/>
          <w:sz w:val="24"/>
          <w:szCs w:val="24"/>
        </w:rPr>
        <w:t xml:space="preserve">can take significant time and </w:t>
      </w:r>
      <w:r w:rsidR="00C6554E" w:rsidRPr="002620B9">
        <w:rPr>
          <w:rFonts w:ascii="Arial" w:hAnsi="Arial" w:cs="Arial"/>
          <w:sz w:val="24"/>
          <w:szCs w:val="24"/>
        </w:rPr>
        <w:t>is difficult and dangerous</w:t>
      </w:r>
      <w:r w:rsidR="00B76B52" w:rsidRPr="002620B9">
        <w:rPr>
          <w:rFonts w:ascii="Arial" w:hAnsi="Arial" w:cs="Arial"/>
          <w:sz w:val="24"/>
          <w:szCs w:val="24"/>
        </w:rPr>
        <w:t xml:space="preserve"> </w:t>
      </w:r>
      <w:r w:rsidR="002A6D80" w:rsidRPr="002620B9">
        <w:rPr>
          <w:rFonts w:ascii="Arial" w:hAnsi="Arial" w:cs="Arial"/>
          <w:sz w:val="24"/>
          <w:szCs w:val="24"/>
        </w:rPr>
        <w:t xml:space="preserve">to make. </w:t>
      </w:r>
    </w:p>
    <w:p w14:paraId="670B9881" w14:textId="77777777" w:rsidR="002620B9" w:rsidRPr="002620B9" w:rsidRDefault="002620B9" w:rsidP="002620B9">
      <w:pPr>
        <w:pStyle w:val="ListParagraph"/>
        <w:spacing w:line="360" w:lineRule="auto"/>
        <w:rPr>
          <w:rFonts w:ascii="Arial" w:hAnsi="Arial" w:cs="Arial"/>
          <w:sz w:val="24"/>
          <w:szCs w:val="24"/>
        </w:rPr>
      </w:pPr>
    </w:p>
    <w:p w14:paraId="6745DDEB" w14:textId="47DE61AD" w:rsidR="00EE6399" w:rsidRPr="0036105B" w:rsidRDefault="002A6D80"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 xml:space="preserve">Additionally, although there are two lanes at the junction, the </w:t>
      </w:r>
      <w:r w:rsidR="00563FEA" w:rsidRPr="0036105B">
        <w:rPr>
          <w:rFonts w:ascii="Arial" w:hAnsi="Arial" w:cs="Arial"/>
          <w:sz w:val="24"/>
          <w:szCs w:val="24"/>
        </w:rPr>
        <w:t>two-lane</w:t>
      </w:r>
      <w:r w:rsidRPr="0036105B">
        <w:rPr>
          <w:rFonts w:ascii="Arial" w:hAnsi="Arial" w:cs="Arial"/>
          <w:sz w:val="24"/>
          <w:szCs w:val="24"/>
        </w:rPr>
        <w:t xml:space="preserve"> stretch is only a few car lengths</w:t>
      </w:r>
      <w:r w:rsidR="00882E81" w:rsidRPr="0036105B">
        <w:rPr>
          <w:rFonts w:ascii="Arial" w:hAnsi="Arial" w:cs="Arial"/>
          <w:sz w:val="24"/>
          <w:szCs w:val="24"/>
        </w:rPr>
        <w:t xml:space="preserve"> long</w:t>
      </w:r>
      <w:r w:rsidRPr="0036105B">
        <w:rPr>
          <w:rFonts w:ascii="Arial" w:hAnsi="Arial" w:cs="Arial"/>
          <w:sz w:val="24"/>
          <w:szCs w:val="24"/>
        </w:rPr>
        <w:t xml:space="preserve">. So, once a handful of cars </w:t>
      </w:r>
      <w:r w:rsidR="000948EB">
        <w:rPr>
          <w:rFonts w:ascii="Arial" w:hAnsi="Arial" w:cs="Arial"/>
          <w:sz w:val="24"/>
          <w:szCs w:val="24"/>
        </w:rPr>
        <w:t>are</w:t>
      </w:r>
      <w:r w:rsidRPr="0036105B">
        <w:rPr>
          <w:rFonts w:ascii="Arial" w:hAnsi="Arial" w:cs="Arial"/>
          <w:sz w:val="24"/>
          <w:szCs w:val="24"/>
        </w:rPr>
        <w:t xml:space="preserve"> waiting to turn </w:t>
      </w:r>
      <w:r w:rsidR="000948EB">
        <w:rPr>
          <w:rFonts w:ascii="Arial" w:hAnsi="Arial" w:cs="Arial"/>
          <w:sz w:val="24"/>
          <w:szCs w:val="24"/>
        </w:rPr>
        <w:t>east</w:t>
      </w:r>
      <w:r w:rsidRPr="0036105B">
        <w:rPr>
          <w:rFonts w:ascii="Arial" w:hAnsi="Arial" w:cs="Arial"/>
          <w:sz w:val="24"/>
          <w:szCs w:val="24"/>
        </w:rPr>
        <w:t xml:space="preserve">, those wishing to turn </w:t>
      </w:r>
      <w:r w:rsidR="000948EB">
        <w:rPr>
          <w:rFonts w:ascii="Arial" w:hAnsi="Arial" w:cs="Arial"/>
          <w:sz w:val="24"/>
          <w:szCs w:val="24"/>
        </w:rPr>
        <w:t>west</w:t>
      </w:r>
      <w:r w:rsidRPr="0036105B">
        <w:rPr>
          <w:rFonts w:ascii="Arial" w:hAnsi="Arial" w:cs="Arial"/>
          <w:sz w:val="24"/>
          <w:szCs w:val="24"/>
        </w:rPr>
        <w:t xml:space="preserve"> </w:t>
      </w:r>
      <w:r w:rsidR="00882E81" w:rsidRPr="0036105B">
        <w:rPr>
          <w:rFonts w:ascii="Arial" w:hAnsi="Arial" w:cs="Arial"/>
          <w:sz w:val="24"/>
          <w:szCs w:val="24"/>
        </w:rPr>
        <w:t xml:space="preserve">and head into Northampton </w:t>
      </w:r>
      <w:r w:rsidRPr="0036105B">
        <w:rPr>
          <w:rFonts w:ascii="Arial" w:hAnsi="Arial" w:cs="Arial"/>
          <w:sz w:val="24"/>
          <w:szCs w:val="24"/>
        </w:rPr>
        <w:t xml:space="preserve">cannot </w:t>
      </w:r>
      <w:r w:rsidR="00B846BA" w:rsidRPr="0036105B">
        <w:rPr>
          <w:rFonts w:ascii="Arial" w:hAnsi="Arial" w:cs="Arial"/>
          <w:sz w:val="24"/>
          <w:szCs w:val="24"/>
        </w:rPr>
        <w:t xml:space="preserve">get past them to </w:t>
      </w:r>
      <w:r w:rsidRPr="0036105B">
        <w:rPr>
          <w:rFonts w:ascii="Arial" w:hAnsi="Arial" w:cs="Arial"/>
          <w:sz w:val="24"/>
          <w:szCs w:val="24"/>
        </w:rPr>
        <w:t xml:space="preserve">access the </w:t>
      </w:r>
      <w:r w:rsidR="000948EB">
        <w:rPr>
          <w:rFonts w:ascii="Arial" w:hAnsi="Arial" w:cs="Arial"/>
          <w:sz w:val="24"/>
          <w:szCs w:val="24"/>
        </w:rPr>
        <w:t>west bound</w:t>
      </w:r>
      <w:r w:rsidRPr="0036105B">
        <w:rPr>
          <w:rFonts w:ascii="Arial" w:hAnsi="Arial" w:cs="Arial"/>
          <w:sz w:val="24"/>
          <w:szCs w:val="24"/>
        </w:rPr>
        <w:t xml:space="preserve"> lane and a queue forms up through the village</w:t>
      </w:r>
      <w:r w:rsidR="007E5447" w:rsidRPr="0036105B">
        <w:rPr>
          <w:rFonts w:ascii="Arial" w:hAnsi="Arial" w:cs="Arial"/>
          <w:sz w:val="24"/>
          <w:szCs w:val="24"/>
        </w:rPr>
        <w:t>. G</w:t>
      </w:r>
      <w:r w:rsidRPr="0036105B">
        <w:rPr>
          <w:rFonts w:ascii="Arial" w:hAnsi="Arial" w:cs="Arial"/>
          <w:sz w:val="24"/>
          <w:szCs w:val="24"/>
        </w:rPr>
        <w:t xml:space="preserve">iven the wait time to turn, the queue moves slowly. </w:t>
      </w:r>
    </w:p>
    <w:p w14:paraId="2E58BC41" w14:textId="77777777" w:rsidR="009968C2" w:rsidRPr="0036105B" w:rsidRDefault="009968C2" w:rsidP="0036105B">
      <w:pPr>
        <w:pStyle w:val="ListParagraph"/>
        <w:spacing w:line="360" w:lineRule="auto"/>
        <w:rPr>
          <w:rFonts w:ascii="Arial" w:hAnsi="Arial" w:cs="Arial"/>
          <w:sz w:val="24"/>
          <w:szCs w:val="24"/>
        </w:rPr>
      </w:pPr>
    </w:p>
    <w:p w14:paraId="77E1230D" w14:textId="668114B0" w:rsidR="009968C2" w:rsidRPr="0036105B" w:rsidRDefault="007E5447"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This effect is exacerbated when there is any problem on the A45 or the M1</w:t>
      </w:r>
      <w:r w:rsidR="00186E09" w:rsidRPr="0036105B">
        <w:rPr>
          <w:rFonts w:ascii="Arial" w:hAnsi="Arial" w:cs="Arial"/>
          <w:sz w:val="24"/>
          <w:szCs w:val="24"/>
        </w:rPr>
        <w:t xml:space="preserve"> (</w:t>
      </w:r>
      <w:r w:rsidR="000948EB">
        <w:rPr>
          <w:rFonts w:ascii="Arial" w:hAnsi="Arial" w:cs="Arial"/>
          <w:sz w:val="24"/>
          <w:szCs w:val="24"/>
        </w:rPr>
        <w:t>we also note that in their response dated 3</w:t>
      </w:r>
      <w:r w:rsidR="000948EB" w:rsidRPr="000948EB">
        <w:rPr>
          <w:rFonts w:ascii="Arial" w:hAnsi="Arial" w:cs="Arial"/>
          <w:sz w:val="24"/>
          <w:szCs w:val="24"/>
          <w:vertAlign w:val="superscript"/>
        </w:rPr>
        <w:t>rd</w:t>
      </w:r>
      <w:r w:rsidR="000948EB">
        <w:rPr>
          <w:rFonts w:ascii="Arial" w:hAnsi="Arial" w:cs="Arial"/>
          <w:sz w:val="24"/>
          <w:szCs w:val="24"/>
        </w:rPr>
        <w:t xml:space="preserve"> November  2017 to the Sites Consultation, </w:t>
      </w:r>
      <w:r w:rsidR="00186E09" w:rsidRPr="000948EB">
        <w:rPr>
          <w:rFonts w:ascii="Arial" w:hAnsi="Arial" w:cs="Arial"/>
          <w:sz w:val="24"/>
          <w:szCs w:val="24"/>
        </w:rPr>
        <w:t>Highways England</w:t>
      </w:r>
      <w:r w:rsidR="000948EB">
        <w:rPr>
          <w:rFonts w:ascii="Arial" w:hAnsi="Arial" w:cs="Arial"/>
          <w:sz w:val="24"/>
          <w:szCs w:val="24"/>
        </w:rPr>
        <w:t xml:space="preserve"> raised their concerns about new site allocations impact on the Strategic Route Network</w:t>
      </w:r>
      <w:r w:rsidR="00186E09" w:rsidRPr="0036105B">
        <w:rPr>
          <w:rFonts w:ascii="Arial" w:hAnsi="Arial" w:cs="Arial"/>
          <w:sz w:val="24"/>
          <w:szCs w:val="24"/>
        </w:rPr>
        <w:t>)</w:t>
      </w:r>
      <w:r w:rsidRPr="0036105B">
        <w:rPr>
          <w:rFonts w:ascii="Arial" w:hAnsi="Arial" w:cs="Arial"/>
          <w:sz w:val="24"/>
          <w:szCs w:val="24"/>
        </w:rPr>
        <w:t xml:space="preserve">. The Green </w:t>
      </w:r>
      <w:r w:rsidR="00882E81" w:rsidRPr="0036105B">
        <w:rPr>
          <w:rFonts w:ascii="Arial" w:hAnsi="Arial" w:cs="Arial"/>
          <w:sz w:val="24"/>
          <w:szCs w:val="24"/>
        </w:rPr>
        <w:t xml:space="preserve">(see below) </w:t>
      </w:r>
      <w:r w:rsidRPr="0036105B">
        <w:rPr>
          <w:rFonts w:ascii="Arial" w:hAnsi="Arial" w:cs="Arial"/>
          <w:sz w:val="24"/>
          <w:szCs w:val="24"/>
        </w:rPr>
        <w:t xml:space="preserve">is the quickest route from Wootton to the A428 and cars use the High Street and Green as part of a cross country route between the A45/M1 and the A428. The wait time in particular to make the </w:t>
      </w:r>
      <w:r w:rsidR="000948EB">
        <w:rPr>
          <w:rFonts w:ascii="Arial" w:hAnsi="Arial" w:cs="Arial"/>
          <w:sz w:val="24"/>
          <w:szCs w:val="24"/>
        </w:rPr>
        <w:t>eastbound</w:t>
      </w:r>
      <w:r w:rsidRPr="0036105B">
        <w:rPr>
          <w:rFonts w:ascii="Arial" w:hAnsi="Arial" w:cs="Arial"/>
          <w:sz w:val="24"/>
          <w:szCs w:val="24"/>
        </w:rPr>
        <w:t xml:space="preserve"> turn is </w:t>
      </w:r>
      <w:r w:rsidR="00882E81" w:rsidRPr="0036105B">
        <w:rPr>
          <w:rFonts w:ascii="Arial" w:hAnsi="Arial" w:cs="Arial"/>
          <w:sz w:val="24"/>
          <w:szCs w:val="24"/>
        </w:rPr>
        <w:t xml:space="preserve">then </w:t>
      </w:r>
      <w:r w:rsidR="00B846BA" w:rsidRPr="0036105B">
        <w:rPr>
          <w:rFonts w:ascii="Arial" w:hAnsi="Arial" w:cs="Arial"/>
          <w:sz w:val="24"/>
          <w:szCs w:val="24"/>
        </w:rPr>
        <w:t>extended</w:t>
      </w:r>
      <w:r w:rsidRPr="0036105B">
        <w:rPr>
          <w:rFonts w:ascii="Arial" w:hAnsi="Arial" w:cs="Arial"/>
          <w:sz w:val="24"/>
          <w:szCs w:val="24"/>
        </w:rPr>
        <w:t>. Essentially</w:t>
      </w:r>
      <w:r w:rsidR="00B846BA" w:rsidRPr="0036105B">
        <w:rPr>
          <w:rFonts w:ascii="Arial" w:hAnsi="Arial" w:cs="Arial"/>
          <w:sz w:val="24"/>
          <w:szCs w:val="24"/>
        </w:rPr>
        <w:t>,</w:t>
      </w:r>
      <w:r w:rsidRPr="0036105B">
        <w:rPr>
          <w:rFonts w:ascii="Arial" w:hAnsi="Arial" w:cs="Arial"/>
          <w:sz w:val="24"/>
          <w:szCs w:val="24"/>
        </w:rPr>
        <w:t xml:space="preserve"> because of the slow turn, even just a few </w:t>
      </w:r>
      <w:r w:rsidR="00563FEA" w:rsidRPr="0036105B">
        <w:rPr>
          <w:rFonts w:ascii="Arial" w:hAnsi="Arial" w:cs="Arial"/>
          <w:sz w:val="24"/>
          <w:szCs w:val="24"/>
        </w:rPr>
        <w:t xml:space="preserve">additional </w:t>
      </w:r>
      <w:r w:rsidRPr="0036105B">
        <w:rPr>
          <w:rFonts w:ascii="Arial" w:hAnsi="Arial" w:cs="Arial"/>
          <w:sz w:val="24"/>
          <w:szCs w:val="24"/>
        </w:rPr>
        <w:t xml:space="preserve">cars </w:t>
      </w:r>
      <w:r w:rsidR="0079113E" w:rsidRPr="0036105B">
        <w:rPr>
          <w:rFonts w:ascii="Arial" w:hAnsi="Arial" w:cs="Arial"/>
          <w:sz w:val="24"/>
          <w:szCs w:val="24"/>
        </w:rPr>
        <w:t>result</w:t>
      </w:r>
      <w:r w:rsidRPr="0036105B">
        <w:rPr>
          <w:rFonts w:ascii="Arial" w:hAnsi="Arial" w:cs="Arial"/>
          <w:sz w:val="24"/>
          <w:szCs w:val="24"/>
        </w:rPr>
        <w:t xml:space="preserve"> in a significant wait.</w:t>
      </w:r>
      <w:r w:rsidR="00495F61" w:rsidRPr="0036105B">
        <w:rPr>
          <w:rFonts w:ascii="Arial" w:hAnsi="Arial" w:cs="Arial"/>
          <w:sz w:val="24"/>
          <w:szCs w:val="24"/>
        </w:rPr>
        <w:t xml:space="preserve"> A queue of cars may also be seen waiting to turn </w:t>
      </w:r>
      <w:r w:rsidR="000948EB">
        <w:rPr>
          <w:rFonts w:ascii="Arial" w:hAnsi="Arial" w:cs="Arial"/>
          <w:sz w:val="24"/>
          <w:szCs w:val="24"/>
        </w:rPr>
        <w:t>south</w:t>
      </w:r>
      <w:r w:rsidR="00495F61" w:rsidRPr="0036105B">
        <w:rPr>
          <w:rFonts w:ascii="Arial" w:hAnsi="Arial" w:cs="Arial"/>
          <w:sz w:val="24"/>
          <w:szCs w:val="24"/>
        </w:rPr>
        <w:t xml:space="preserve"> on the A428 to go </w:t>
      </w:r>
      <w:r w:rsidR="000948EB">
        <w:rPr>
          <w:rFonts w:ascii="Arial" w:hAnsi="Arial" w:cs="Arial"/>
          <w:sz w:val="24"/>
          <w:szCs w:val="24"/>
        </w:rPr>
        <w:t xml:space="preserve">south, </w:t>
      </w:r>
      <w:r w:rsidR="00495F61" w:rsidRPr="0036105B">
        <w:rPr>
          <w:rFonts w:ascii="Arial" w:hAnsi="Arial" w:cs="Arial"/>
          <w:sz w:val="24"/>
          <w:szCs w:val="24"/>
        </w:rPr>
        <w:t xml:space="preserve">up the High Street. </w:t>
      </w:r>
    </w:p>
    <w:p w14:paraId="107B990D" w14:textId="2B7026EE" w:rsidR="007E5447" w:rsidRPr="0036105B" w:rsidRDefault="007E5447" w:rsidP="0036105B">
      <w:pPr>
        <w:pStyle w:val="ListParagraph"/>
        <w:spacing w:line="360" w:lineRule="auto"/>
        <w:rPr>
          <w:rFonts w:ascii="Arial" w:hAnsi="Arial" w:cs="Arial"/>
          <w:sz w:val="24"/>
          <w:szCs w:val="24"/>
        </w:rPr>
      </w:pPr>
    </w:p>
    <w:p w14:paraId="3007412F" w14:textId="10AD183E" w:rsidR="007E5447" w:rsidRPr="0036105B" w:rsidRDefault="00882E81"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 xml:space="preserve">There is no way to widen the High Street, as there are houses on either side </w:t>
      </w:r>
      <w:r w:rsidR="00FB503C">
        <w:rPr>
          <w:rFonts w:ascii="Arial" w:hAnsi="Arial" w:cs="Arial"/>
          <w:sz w:val="24"/>
          <w:szCs w:val="24"/>
        </w:rPr>
        <w:t>of its length</w:t>
      </w:r>
      <w:r w:rsidRPr="0036105B">
        <w:rPr>
          <w:rFonts w:ascii="Arial" w:hAnsi="Arial" w:cs="Arial"/>
          <w:sz w:val="24"/>
          <w:szCs w:val="24"/>
        </w:rPr>
        <w:t xml:space="preserve">. </w:t>
      </w:r>
      <w:r w:rsidR="00FB503C">
        <w:rPr>
          <w:rFonts w:ascii="Arial" w:hAnsi="Arial" w:cs="Arial"/>
          <w:sz w:val="24"/>
          <w:szCs w:val="24"/>
        </w:rPr>
        <w:t>Much of this route</w:t>
      </w:r>
      <w:r w:rsidRPr="0036105B">
        <w:rPr>
          <w:rFonts w:ascii="Arial" w:hAnsi="Arial" w:cs="Arial"/>
          <w:sz w:val="24"/>
          <w:szCs w:val="24"/>
        </w:rPr>
        <w:t xml:space="preserve"> is also </w:t>
      </w:r>
      <w:r w:rsidR="00B846BA" w:rsidRPr="0036105B">
        <w:rPr>
          <w:rFonts w:ascii="Arial" w:hAnsi="Arial" w:cs="Arial"/>
          <w:sz w:val="24"/>
          <w:szCs w:val="24"/>
        </w:rPr>
        <w:t>within</w:t>
      </w:r>
      <w:r w:rsidRPr="0036105B">
        <w:rPr>
          <w:rFonts w:ascii="Arial" w:hAnsi="Arial" w:cs="Arial"/>
          <w:sz w:val="24"/>
          <w:szCs w:val="24"/>
        </w:rPr>
        <w:t xml:space="preserve"> the Conservation Area.</w:t>
      </w:r>
    </w:p>
    <w:p w14:paraId="584300AD" w14:textId="77777777" w:rsidR="009968C2" w:rsidRPr="0036105B" w:rsidRDefault="009968C2" w:rsidP="0036105B">
      <w:pPr>
        <w:pStyle w:val="ListParagraph"/>
        <w:spacing w:line="360" w:lineRule="auto"/>
        <w:rPr>
          <w:rFonts w:ascii="Arial" w:hAnsi="Arial" w:cs="Arial"/>
          <w:sz w:val="24"/>
          <w:szCs w:val="24"/>
        </w:rPr>
      </w:pPr>
    </w:p>
    <w:p w14:paraId="09B00C1C" w14:textId="46D71ECF" w:rsidR="00F83E6A" w:rsidRDefault="00BA309E" w:rsidP="0036105B">
      <w:pPr>
        <w:pStyle w:val="ListParagraph"/>
        <w:numPr>
          <w:ilvl w:val="0"/>
          <w:numId w:val="5"/>
        </w:numPr>
        <w:spacing w:line="360" w:lineRule="auto"/>
        <w:rPr>
          <w:rFonts w:ascii="Arial" w:hAnsi="Arial" w:cs="Arial"/>
          <w:sz w:val="24"/>
          <w:szCs w:val="24"/>
        </w:rPr>
      </w:pPr>
      <w:r>
        <w:rPr>
          <w:rFonts w:ascii="Arial" w:hAnsi="Arial" w:cs="Arial"/>
          <w:sz w:val="24"/>
          <w:szCs w:val="24"/>
        </w:rPr>
        <w:t xml:space="preserve">The village and The Green site are poorly served by public transport. The Sustainability Appraisal refers to buses on the </w:t>
      </w:r>
      <w:r w:rsidR="005F3E22">
        <w:rPr>
          <w:rFonts w:ascii="Arial" w:hAnsi="Arial" w:cs="Arial"/>
          <w:sz w:val="24"/>
          <w:szCs w:val="24"/>
        </w:rPr>
        <w:t xml:space="preserve">A428 </w:t>
      </w:r>
      <w:r w:rsidR="002A446B" w:rsidRPr="00BA309E">
        <w:rPr>
          <w:rFonts w:ascii="Arial" w:hAnsi="Arial" w:cs="Arial"/>
          <w:sz w:val="24"/>
          <w:szCs w:val="24"/>
        </w:rPr>
        <w:t>Bedford</w:t>
      </w:r>
      <w:r w:rsidR="005F3E22">
        <w:rPr>
          <w:rFonts w:ascii="Arial" w:hAnsi="Arial" w:cs="Arial"/>
          <w:sz w:val="24"/>
          <w:szCs w:val="24"/>
        </w:rPr>
        <w:t xml:space="preserve"> Road</w:t>
      </w:r>
      <w:r w:rsidR="002A446B" w:rsidRPr="00BA309E">
        <w:rPr>
          <w:rFonts w:ascii="Arial" w:hAnsi="Arial" w:cs="Arial"/>
          <w:sz w:val="24"/>
          <w:szCs w:val="24"/>
        </w:rPr>
        <w:t xml:space="preserve">. </w:t>
      </w:r>
      <w:r>
        <w:rPr>
          <w:rFonts w:ascii="Arial" w:hAnsi="Arial" w:cs="Arial"/>
          <w:sz w:val="24"/>
          <w:szCs w:val="24"/>
        </w:rPr>
        <w:t xml:space="preserve">It is difficult to understand how these would be used by residents of The Green. This is some </w:t>
      </w:r>
      <w:r w:rsidR="00DE2E74">
        <w:rPr>
          <w:rFonts w:ascii="Arial" w:hAnsi="Arial" w:cs="Arial"/>
          <w:sz w:val="24"/>
          <w:szCs w:val="24"/>
        </w:rPr>
        <w:t>2km</w:t>
      </w:r>
      <w:r>
        <w:rPr>
          <w:rFonts w:ascii="Arial" w:hAnsi="Arial" w:cs="Arial"/>
          <w:sz w:val="24"/>
          <w:szCs w:val="24"/>
        </w:rPr>
        <w:t xml:space="preserve"> </w:t>
      </w:r>
      <w:r w:rsidR="00DE2E74">
        <w:rPr>
          <w:rFonts w:ascii="Arial" w:hAnsi="Arial" w:cs="Arial"/>
          <w:sz w:val="24"/>
          <w:szCs w:val="24"/>
        </w:rPr>
        <w:t xml:space="preserve">(straight line) </w:t>
      </w:r>
      <w:r>
        <w:rPr>
          <w:rFonts w:ascii="Arial" w:hAnsi="Arial" w:cs="Arial"/>
          <w:sz w:val="24"/>
          <w:szCs w:val="24"/>
        </w:rPr>
        <w:t>distan</w:t>
      </w:r>
      <w:r w:rsidR="00DE2E74">
        <w:rPr>
          <w:rFonts w:ascii="Arial" w:hAnsi="Arial" w:cs="Arial"/>
          <w:sz w:val="24"/>
          <w:szCs w:val="24"/>
        </w:rPr>
        <w:t>t</w:t>
      </w:r>
      <w:r>
        <w:rPr>
          <w:rFonts w:ascii="Arial" w:hAnsi="Arial" w:cs="Arial"/>
          <w:sz w:val="24"/>
          <w:szCs w:val="24"/>
        </w:rPr>
        <w:t xml:space="preserve"> from </w:t>
      </w:r>
      <w:r w:rsidR="00DE2E74">
        <w:rPr>
          <w:rFonts w:ascii="Arial" w:hAnsi="Arial" w:cs="Arial"/>
          <w:sz w:val="24"/>
          <w:szCs w:val="24"/>
        </w:rPr>
        <w:t>The Green</w:t>
      </w:r>
      <w:r w:rsidR="005F3E22">
        <w:rPr>
          <w:rFonts w:ascii="Arial" w:hAnsi="Arial" w:cs="Arial"/>
          <w:sz w:val="24"/>
          <w:szCs w:val="24"/>
        </w:rPr>
        <w:t xml:space="preserve"> site allocation</w:t>
      </w:r>
      <w:r w:rsidR="00DE2E74">
        <w:rPr>
          <w:rFonts w:ascii="Arial" w:hAnsi="Arial" w:cs="Arial"/>
          <w:sz w:val="24"/>
          <w:szCs w:val="24"/>
        </w:rPr>
        <w:t>. This is considered beyond reasonable for bus users to consider</w:t>
      </w:r>
      <w:r w:rsidR="005F3E22">
        <w:rPr>
          <w:rFonts w:ascii="Arial" w:hAnsi="Arial" w:cs="Arial"/>
          <w:sz w:val="24"/>
          <w:szCs w:val="24"/>
        </w:rPr>
        <w:t xml:space="preserve"> using</w:t>
      </w:r>
      <w:r w:rsidR="00DE2E74">
        <w:rPr>
          <w:rFonts w:ascii="Arial" w:hAnsi="Arial" w:cs="Arial"/>
          <w:sz w:val="24"/>
          <w:szCs w:val="24"/>
        </w:rPr>
        <w:t xml:space="preserve">. The bus stops on the A428 are already </w:t>
      </w:r>
      <w:r>
        <w:rPr>
          <w:rFonts w:ascii="Arial" w:hAnsi="Arial" w:cs="Arial"/>
          <w:sz w:val="24"/>
          <w:szCs w:val="24"/>
        </w:rPr>
        <w:t>difficult for more nearby residents of Great Houghton village to use, particularly those with mobility problems</w:t>
      </w:r>
      <w:r w:rsidR="005F3E22">
        <w:rPr>
          <w:rFonts w:ascii="Arial" w:hAnsi="Arial" w:cs="Arial"/>
          <w:sz w:val="24"/>
          <w:szCs w:val="24"/>
        </w:rPr>
        <w:t>,</w:t>
      </w:r>
      <w:r>
        <w:rPr>
          <w:rFonts w:ascii="Arial" w:hAnsi="Arial" w:cs="Arial"/>
          <w:sz w:val="24"/>
          <w:szCs w:val="24"/>
        </w:rPr>
        <w:t xml:space="preserve"> being accessed via the High Street, the problems of which have already been highlighted. Access for those going eastbound, or returning from Northampton, would also entail crossing the Bedford Road to gain access to the village/The Green site, there have been two recent fatalities in this area of bus users</w:t>
      </w:r>
      <w:r w:rsidR="00564F50">
        <w:rPr>
          <w:rFonts w:ascii="Arial" w:hAnsi="Arial" w:cs="Arial"/>
          <w:sz w:val="24"/>
          <w:szCs w:val="24"/>
        </w:rPr>
        <w:t xml:space="preserve"> crossing this road.</w:t>
      </w:r>
      <w:r w:rsidR="00DE2E74">
        <w:rPr>
          <w:rFonts w:ascii="Arial" w:hAnsi="Arial" w:cs="Arial"/>
          <w:sz w:val="24"/>
          <w:szCs w:val="24"/>
        </w:rPr>
        <w:t xml:space="preserve"> Bus is not considered an option for The Green</w:t>
      </w:r>
      <w:r w:rsidR="005F3E22">
        <w:rPr>
          <w:rFonts w:ascii="Arial" w:hAnsi="Arial" w:cs="Arial"/>
          <w:sz w:val="24"/>
          <w:szCs w:val="24"/>
        </w:rPr>
        <w:t xml:space="preserve"> site</w:t>
      </w:r>
      <w:r w:rsidR="00DE2E74">
        <w:rPr>
          <w:rFonts w:ascii="Arial" w:hAnsi="Arial" w:cs="Arial"/>
          <w:sz w:val="24"/>
          <w:szCs w:val="24"/>
        </w:rPr>
        <w:t>.</w:t>
      </w:r>
    </w:p>
    <w:p w14:paraId="47C9D28A" w14:textId="77777777" w:rsidR="00BA309E" w:rsidRPr="00BA309E" w:rsidRDefault="00BA309E" w:rsidP="00BA309E">
      <w:pPr>
        <w:pStyle w:val="ListParagraph"/>
        <w:spacing w:line="360" w:lineRule="auto"/>
        <w:rPr>
          <w:rFonts w:ascii="Arial" w:hAnsi="Arial" w:cs="Arial"/>
          <w:sz w:val="24"/>
          <w:szCs w:val="24"/>
        </w:rPr>
      </w:pPr>
    </w:p>
    <w:p w14:paraId="2DF8DD06" w14:textId="33941B4D" w:rsidR="00FB4D42" w:rsidRPr="001353AE" w:rsidRDefault="00FB4D42" w:rsidP="0036105B">
      <w:pPr>
        <w:pStyle w:val="ListParagraph"/>
        <w:spacing w:line="360" w:lineRule="auto"/>
        <w:rPr>
          <w:rFonts w:ascii="Arial" w:hAnsi="Arial" w:cs="Arial"/>
          <w:sz w:val="24"/>
          <w:szCs w:val="24"/>
          <w:u w:val="single"/>
        </w:rPr>
      </w:pPr>
      <w:r w:rsidRPr="001353AE">
        <w:rPr>
          <w:rFonts w:ascii="Arial" w:hAnsi="Arial" w:cs="Arial"/>
          <w:sz w:val="24"/>
          <w:szCs w:val="24"/>
          <w:u w:val="single"/>
        </w:rPr>
        <w:t xml:space="preserve">Loss of </w:t>
      </w:r>
      <w:r w:rsidR="003A5020" w:rsidRPr="001353AE">
        <w:rPr>
          <w:rFonts w:ascii="Arial" w:hAnsi="Arial" w:cs="Arial"/>
          <w:sz w:val="24"/>
          <w:szCs w:val="24"/>
          <w:u w:val="single"/>
        </w:rPr>
        <w:t xml:space="preserve">character and </w:t>
      </w:r>
      <w:r w:rsidRPr="001353AE">
        <w:rPr>
          <w:rFonts w:ascii="Arial" w:hAnsi="Arial" w:cs="Arial"/>
          <w:sz w:val="24"/>
          <w:szCs w:val="24"/>
          <w:u w:val="single"/>
        </w:rPr>
        <w:t>setting</w:t>
      </w:r>
    </w:p>
    <w:p w14:paraId="53E81C8F" w14:textId="77777777" w:rsidR="009968C2" w:rsidRPr="0036105B" w:rsidRDefault="009968C2" w:rsidP="0036105B">
      <w:pPr>
        <w:pStyle w:val="ListParagraph"/>
        <w:spacing w:line="360" w:lineRule="auto"/>
        <w:rPr>
          <w:rFonts w:ascii="Arial" w:hAnsi="Arial" w:cs="Arial"/>
          <w:b/>
          <w:bCs/>
          <w:sz w:val="24"/>
          <w:szCs w:val="24"/>
          <w:u w:val="single"/>
        </w:rPr>
      </w:pPr>
    </w:p>
    <w:p w14:paraId="49BD32EC" w14:textId="75D74F2E" w:rsidR="001C0DB9" w:rsidRPr="0036105B" w:rsidRDefault="003A5020"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 xml:space="preserve">Great Houghton is a village </w:t>
      </w:r>
      <w:r w:rsidR="000D5F9A" w:rsidRPr="0036105B">
        <w:rPr>
          <w:rFonts w:ascii="Arial" w:hAnsi="Arial" w:cs="Arial"/>
          <w:sz w:val="24"/>
          <w:szCs w:val="24"/>
        </w:rPr>
        <w:t xml:space="preserve">which </w:t>
      </w:r>
      <w:r w:rsidRPr="0036105B">
        <w:rPr>
          <w:rFonts w:ascii="Arial" w:hAnsi="Arial" w:cs="Arial"/>
          <w:sz w:val="24"/>
          <w:szCs w:val="24"/>
        </w:rPr>
        <w:t>has grown organically through small developments. The centre of the village is a Conservation Area</w:t>
      </w:r>
      <w:r w:rsidR="007D4E66" w:rsidRPr="0036105B">
        <w:rPr>
          <w:rFonts w:ascii="Arial" w:hAnsi="Arial" w:cs="Arial"/>
          <w:sz w:val="24"/>
          <w:szCs w:val="24"/>
        </w:rPr>
        <w:t xml:space="preserve">; this includes the portion of the High Street </w:t>
      </w:r>
      <w:r w:rsidR="004737D8" w:rsidRPr="0036105B">
        <w:rPr>
          <w:rFonts w:ascii="Arial" w:hAnsi="Arial" w:cs="Arial"/>
          <w:sz w:val="24"/>
          <w:szCs w:val="24"/>
        </w:rPr>
        <w:t>that would</w:t>
      </w:r>
      <w:r w:rsidR="007D4E66" w:rsidRPr="0036105B">
        <w:rPr>
          <w:rFonts w:ascii="Arial" w:hAnsi="Arial" w:cs="Arial"/>
          <w:sz w:val="24"/>
          <w:szCs w:val="24"/>
        </w:rPr>
        <w:t xml:space="preserve"> be affected by additional traffic and queueing</w:t>
      </w:r>
      <w:r w:rsidRPr="0036105B">
        <w:rPr>
          <w:rFonts w:ascii="Arial" w:hAnsi="Arial" w:cs="Arial"/>
          <w:sz w:val="24"/>
          <w:szCs w:val="24"/>
        </w:rPr>
        <w:t>.</w:t>
      </w:r>
    </w:p>
    <w:p w14:paraId="2E2728A9" w14:textId="77777777" w:rsidR="009968C2" w:rsidRPr="0036105B" w:rsidRDefault="009968C2" w:rsidP="0036105B">
      <w:pPr>
        <w:pStyle w:val="ListParagraph"/>
        <w:spacing w:line="360" w:lineRule="auto"/>
        <w:rPr>
          <w:rFonts w:ascii="Arial" w:hAnsi="Arial" w:cs="Arial"/>
          <w:sz w:val="24"/>
          <w:szCs w:val="24"/>
        </w:rPr>
      </w:pPr>
    </w:p>
    <w:p w14:paraId="60C520BD" w14:textId="265AACF9" w:rsidR="0071649B" w:rsidRPr="0036105B" w:rsidRDefault="004737D8"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T</w:t>
      </w:r>
      <w:r w:rsidR="001C0DB9" w:rsidRPr="0036105B">
        <w:rPr>
          <w:rFonts w:ascii="Arial" w:hAnsi="Arial" w:cs="Arial"/>
          <w:sz w:val="24"/>
          <w:szCs w:val="24"/>
        </w:rPr>
        <w:t xml:space="preserve">he development </w:t>
      </w:r>
      <w:r w:rsidRPr="0036105B">
        <w:rPr>
          <w:rFonts w:ascii="Arial" w:hAnsi="Arial" w:cs="Arial"/>
          <w:sz w:val="24"/>
          <w:szCs w:val="24"/>
        </w:rPr>
        <w:t xml:space="preserve">of 800 new dwellings is out of scale with the village and will begin the gradual erosion of the separation of the village from Northampton. The village </w:t>
      </w:r>
      <w:r w:rsidR="00D0040F">
        <w:rPr>
          <w:rFonts w:ascii="Arial" w:hAnsi="Arial" w:cs="Arial"/>
          <w:sz w:val="24"/>
          <w:szCs w:val="24"/>
        </w:rPr>
        <w:t xml:space="preserve">will </w:t>
      </w:r>
      <w:r w:rsidR="001C0DB9" w:rsidRPr="0036105B">
        <w:rPr>
          <w:rFonts w:ascii="Arial" w:hAnsi="Arial" w:cs="Arial"/>
          <w:sz w:val="24"/>
          <w:szCs w:val="24"/>
        </w:rPr>
        <w:t xml:space="preserve">lose its </w:t>
      </w:r>
      <w:r w:rsidRPr="0036105B">
        <w:rPr>
          <w:rFonts w:ascii="Arial" w:hAnsi="Arial" w:cs="Arial"/>
          <w:sz w:val="24"/>
          <w:szCs w:val="24"/>
        </w:rPr>
        <w:t xml:space="preserve">separate </w:t>
      </w:r>
      <w:r w:rsidR="001C0DB9" w:rsidRPr="0036105B">
        <w:rPr>
          <w:rFonts w:ascii="Arial" w:hAnsi="Arial" w:cs="Arial"/>
          <w:sz w:val="24"/>
          <w:szCs w:val="24"/>
        </w:rPr>
        <w:t>identity</w:t>
      </w:r>
      <w:r w:rsidR="0071649B" w:rsidRPr="0036105B">
        <w:rPr>
          <w:rFonts w:ascii="Arial" w:hAnsi="Arial" w:cs="Arial"/>
          <w:sz w:val="24"/>
          <w:szCs w:val="24"/>
        </w:rPr>
        <w:t>.</w:t>
      </w:r>
    </w:p>
    <w:p w14:paraId="1EBD9DEC" w14:textId="77777777" w:rsidR="009968C2" w:rsidRPr="0036105B" w:rsidRDefault="009968C2" w:rsidP="0036105B">
      <w:pPr>
        <w:pStyle w:val="ListParagraph"/>
        <w:spacing w:line="360" w:lineRule="auto"/>
        <w:rPr>
          <w:rFonts w:ascii="Arial" w:hAnsi="Arial" w:cs="Arial"/>
          <w:sz w:val="24"/>
          <w:szCs w:val="24"/>
        </w:rPr>
      </w:pPr>
    </w:p>
    <w:p w14:paraId="0B7590E0" w14:textId="702CEB58" w:rsidR="004E1539" w:rsidRPr="00D01CE1" w:rsidRDefault="001C6672" w:rsidP="0036105B">
      <w:pPr>
        <w:pStyle w:val="ListParagraph"/>
        <w:numPr>
          <w:ilvl w:val="0"/>
          <w:numId w:val="5"/>
        </w:numPr>
        <w:spacing w:line="360" w:lineRule="auto"/>
        <w:rPr>
          <w:rFonts w:ascii="Arial" w:hAnsi="Arial" w:cs="Arial"/>
          <w:sz w:val="24"/>
          <w:szCs w:val="24"/>
          <w:lang w:val="fr-FR"/>
        </w:rPr>
      </w:pPr>
      <w:r w:rsidRPr="0036105B">
        <w:rPr>
          <w:rFonts w:ascii="Arial" w:hAnsi="Arial" w:cs="Arial"/>
          <w:sz w:val="24"/>
          <w:szCs w:val="24"/>
        </w:rPr>
        <w:t>At the moment, leav</w:t>
      </w:r>
      <w:r w:rsidR="00900516" w:rsidRPr="0036105B">
        <w:rPr>
          <w:rFonts w:ascii="Arial" w:hAnsi="Arial" w:cs="Arial"/>
          <w:sz w:val="24"/>
          <w:szCs w:val="24"/>
        </w:rPr>
        <w:t>ing the</w:t>
      </w:r>
      <w:r w:rsidRPr="0036105B">
        <w:rPr>
          <w:rFonts w:ascii="Arial" w:hAnsi="Arial" w:cs="Arial"/>
          <w:sz w:val="24"/>
          <w:szCs w:val="24"/>
        </w:rPr>
        <w:t xml:space="preserve"> village </w:t>
      </w:r>
      <w:r w:rsidR="00900516" w:rsidRPr="0036105B">
        <w:rPr>
          <w:rFonts w:ascii="Arial" w:hAnsi="Arial" w:cs="Arial"/>
          <w:sz w:val="24"/>
          <w:szCs w:val="24"/>
        </w:rPr>
        <w:t>to the south and travelling towards T</w:t>
      </w:r>
      <w:r w:rsidRPr="0036105B">
        <w:rPr>
          <w:rFonts w:ascii="Arial" w:hAnsi="Arial" w:cs="Arial"/>
          <w:sz w:val="24"/>
          <w:szCs w:val="24"/>
        </w:rPr>
        <w:t>he Green</w:t>
      </w:r>
      <w:r w:rsidR="00D0040F">
        <w:rPr>
          <w:rFonts w:ascii="Arial" w:hAnsi="Arial" w:cs="Arial"/>
          <w:sz w:val="24"/>
          <w:szCs w:val="24"/>
        </w:rPr>
        <w:t xml:space="preserve"> allocation land</w:t>
      </w:r>
      <w:r w:rsidR="00900516" w:rsidRPr="0036105B">
        <w:rPr>
          <w:rFonts w:ascii="Arial" w:hAnsi="Arial" w:cs="Arial"/>
          <w:sz w:val="24"/>
          <w:szCs w:val="24"/>
        </w:rPr>
        <w:t xml:space="preserve">, beyond </w:t>
      </w:r>
      <w:r w:rsidRPr="0036105B">
        <w:rPr>
          <w:rFonts w:ascii="Arial" w:hAnsi="Arial" w:cs="Arial"/>
          <w:sz w:val="24"/>
          <w:szCs w:val="24"/>
        </w:rPr>
        <w:t xml:space="preserve">Leys Lane </w:t>
      </w:r>
      <w:r w:rsidR="007E140F" w:rsidRPr="0036105B">
        <w:rPr>
          <w:rFonts w:ascii="Arial" w:hAnsi="Arial" w:cs="Arial"/>
          <w:sz w:val="24"/>
          <w:szCs w:val="24"/>
        </w:rPr>
        <w:t>(</w:t>
      </w:r>
      <w:r w:rsidRPr="0036105B">
        <w:rPr>
          <w:rFonts w:ascii="Arial" w:hAnsi="Arial" w:cs="Arial"/>
          <w:sz w:val="24"/>
          <w:szCs w:val="24"/>
        </w:rPr>
        <w:t>the entrance to the village hall and playing field</w:t>
      </w:r>
      <w:r w:rsidR="007E140F" w:rsidRPr="0036105B">
        <w:rPr>
          <w:rFonts w:ascii="Arial" w:hAnsi="Arial" w:cs="Arial"/>
          <w:sz w:val="24"/>
          <w:szCs w:val="24"/>
        </w:rPr>
        <w:t>)</w:t>
      </w:r>
      <w:r w:rsidRPr="0036105B">
        <w:rPr>
          <w:rFonts w:ascii="Arial" w:hAnsi="Arial" w:cs="Arial"/>
          <w:sz w:val="24"/>
          <w:szCs w:val="24"/>
        </w:rPr>
        <w:t xml:space="preserve">, </w:t>
      </w:r>
      <w:r w:rsidR="00900516" w:rsidRPr="0036105B">
        <w:rPr>
          <w:rFonts w:ascii="Arial" w:hAnsi="Arial" w:cs="Arial"/>
          <w:sz w:val="24"/>
          <w:szCs w:val="24"/>
        </w:rPr>
        <w:t xml:space="preserve">one enters </w:t>
      </w:r>
      <w:r w:rsidRPr="0036105B">
        <w:rPr>
          <w:rFonts w:ascii="Arial" w:hAnsi="Arial" w:cs="Arial"/>
          <w:sz w:val="24"/>
          <w:szCs w:val="24"/>
        </w:rPr>
        <w:t xml:space="preserve">open countryside. This </w:t>
      </w:r>
      <w:r w:rsidR="002A1979" w:rsidRPr="0036105B">
        <w:rPr>
          <w:rFonts w:ascii="Arial" w:hAnsi="Arial" w:cs="Arial"/>
          <w:sz w:val="24"/>
          <w:szCs w:val="24"/>
        </w:rPr>
        <w:t>open land</w:t>
      </w:r>
      <w:r w:rsidRPr="0036105B">
        <w:rPr>
          <w:rFonts w:ascii="Arial" w:hAnsi="Arial" w:cs="Arial"/>
          <w:sz w:val="24"/>
          <w:szCs w:val="24"/>
        </w:rPr>
        <w:t xml:space="preserve"> </w:t>
      </w:r>
      <w:r w:rsidR="002A1979" w:rsidRPr="0036105B">
        <w:rPr>
          <w:rFonts w:ascii="Arial" w:hAnsi="Arial" w:cs="Arial"/>
          <w:sz w:val="24"/>
          <w:szCs w:val="24"/>
        </w:rPr>
        <w:t xml:space="preserve">is </w:t>
      </w:r>
      <w:r w:rsidR="00D0040F">
        <w:rPr>
          <w:rFonts w:ascii="Arial" w:hAnsi="Arial" w:cs="Arial"/>
          <w:sz w:val="24"/>
          <w:szCs w:val="24"/>
        </w:rPr>
        <w:t xml:space="preserve">an </w:t>
      </w:r>
      <w:r w:rsidR="002A1979" w:rsidRPr="0036105B">
        <w:rPr>
          <w:rFonts w:ascii="Arial" w:hAnsi="Arial" w:cs="Arial"/>
          <w:sz w:val="24"/>
          <w:szCs w:val="24"/>
        </w:rPr>
        <w:t>integral part of the</w:t>
      </w:r>
      <w:r w:rsidRPr="0036105B">
        <w:rPr>
          <w:rFonts w:ascii="Arial" w:hAnsi="Arial" w:cs="Arial"/>
          <w:sz w:val="24"/>
          <w:szCs w:val="24"/>
        </w:rPr>
        <w:t xml:space="preserve"> setting of the villag</w:t>
      </w:r>
      <w:r w:rsidR="000D5F9A" w:rsidRPr="0036105B">
        <w:rPr>
          <w:rFonts w:ascii="Arial" w:hAnsi="Arial" w:cs="Arial"/>
          <w:sz w:val="24"/>
          <w:szCs w:val="24"/>
        </w:rPr>
        <w:t xml:space="preserve">e and </w:t>
      </w:r>
      <w:r w:rsidR="002A1979" w:rsidRPr="0036105B">
        <w:rPr>
          <w:rFonts w:ascii="Arial" w:hAnsi="Arial" w:cs="Arial"/>
          <w:sz w:val="24"/>
          <w:szCs w:val="24"/>
        </w:rPr>
        <w:t>its</w:t>
      </w:r>
      <w:r w:rsidR="000D5F9A" w:rsidRPr="0036105B">
        <w:rPr>
          <w:rFonts w:ascii="Arial" w:hAnsi="Arial" w:cs="Arial"/>
          <w:sz w:val="24"/>
          <w:szCs w:val="24"/>
        </w:rPr>
        <w:t xml:space="preserve"> detachment </w:t>
      </w:r>
      <w:r w:rsidR="002A1979" w:rsidRPr="0036105B">
        <w:rPr>
          <w:rFonts w:ascii="Arial" w:hAnsi="Arial" w:cs="Arial"/>
          <w:sz w:val="24"/>
          <w:szCs w:val="24"/>
        </w:rPr>
        <w:t xml:space="preserve">from other built development. This </w:t>
      </w:r>
      <w:r w:rsidR="000D5F9A" w:rsidRPr="0036105B">
        <w:rPr>
          <w:rFonts w:ascii="Arial" w:hAnsi="Arial" w:cs="Arial"/>
          <w:sz w:val="24"/>
          <w:szCs w:val="24"/>
        </w:rPr>
        <w:t xml:space="preserve">is noted in the Conservation Area </w:t>
      </w:r>
      <w:r w:rsidR="00D01CE1">
        <w:rPr>
          <w:rFonts w:ascii="Arial" w:hAnsi="Arial" w:cs="Arial"/>
          <w:sz w:val="24"/>
          <w:szCs w:val="24"/>
        </w:rPr>
        <w:t xml:space="preserve">Appraisal </w:t>
      </w:r>
      <w:r w:rsidR="00D01CE1" w:rsidRPr="00D01CE1">
        <w:rPr>
          <w:rFonts w:ascii="Arial" w:hAnsi="Arial" w:cs="Arial"/>
          <w:i/>
          <w:iCs/>
          <w:sz w:val="24"/>
          <w:szCs w:val="24"/>
        </w:rPr>
        <w:t>“The visual separation between Great Houghton and the built-up area makes a major contribution to the setting and to the character and appearance of the Conservation Area.”</w:t>
      </w:r>
      <w:r w:rsidR="00D01CE1" w:rsidRPr="00D01CE1">
        <w:rPr>
          <w:rFonts w:ascii="Arial" w:hAnsi="Arial" w:cs="Arial"/>
          <w:sz w:val="24"/>
          <w:szCs w:val="24"/>
        </w:rPr>
        <w:t xml:space="preserve"> </w:t>
      </w:r>
      <w:r w:rsidR="00D01CE1" w:rsidRPr="00D01CE1">
        <w:rPr>
          <w:rFonts w:ascii="Arial" w:hAnsi="Arial" w:cs="Arial"/>
          <w:sz w:val="24"/>
          <w:szCs w:val="24"/>
          <w:lang w:val="fr-FR"/>
        </w:rPr>
        <w:t xml:space="preserve">(page 16, </w:t>
      </w:r>
      <w:hyperlink r:id="rId11" w:history="1">
        <w:r w:rsidR="00D01CE1" w:rsidRPr="00D01CE1">
          <w:rPr>
            <w:rStyle w:val="Hyperlink"/>
            <w:rFonts w:ascii="Arial" w:hAnsi="Arial" w:cs="Arial"/>
            <w:sz w:val="24"/>
            <w:szCs w:val="24"/>
            <w:lang w:val="fr-FR"/>
          </w:rPr>
          <w:t>https://www.northampton.gov.uk/info/200207/building_conservation_and_trees/1629/great_houghton_conservation_area</w:t>
        </w:r>
      </w:hyperlink>
      <w:r w:rsidR="00D01CE1" w:rsidRPr="00D01CE1">
        <w:rPr>
          <w:rFonts w:ascii="Arial" w:hAnsi="Arial" w:cs="Arial"/>
          <w:sz w:val="24"/>
          <w:szCs w:val="24"/>
          <w:lang w:val="fr-FR"/>
        </w:rPr>
        <w:t>)</w:t>
      </w:r>
      <w:r w:rsidR="00D01CE1">
        <w:rPr>
          <w:rFonts w:ascii="Arial" w:hAnsi="Arial" w:cs="Arial"/>
          <w:sz w:val="24"/>
          <w:szCs w:val="24"/>
          <w:lang w:val="fr-FR"/>
        </w:rPr>
        <w:t>.</w:t>
      </w:r>
    </w:p>
    <w:p w14:paraId="1A010C2C" w14:textId="77777777" w:rsidR="00505361" w:rsidRPr="00D01CE1" w:rsidRDefault="00505361" w:rsidP="00505361">
      <w:pPr>
        <w:pStyle w:val="ListParagraph"/>
        <w:spacing w:line="360" w:lineRule="auto"/>
        <w:rPr>
          <w:rFonts w:ascii="Arial" w:hAnsi="Arial" w:cs="Arial"/>
          <w:sz w:val="24"/>
          <w:szCs w:val="24"/>
          <w:lang w:val="fr-FR"/>
        </w:rPr>
      </w:pPr>
    </w:p>
    <w:p w14:paraId="437ECC6D" w14:textId="05A833AE" w:rsidR="00505361" w:rsidRPr="0036105B" w:rsidRDefault="00505361" w:rsidP="0036105B">
      <w:pPr>
        <w:pStyle w:val="ListParagraph"/>
        <w:numPr>
          <w:ilvl w:val="0"/>
          <w:numId w:val="5"/>
        </w:numPr>
        <w:spacing w:line="360" w:lineRule="auto"/>
        <w:rPr>
          <w:rFonts w:ascii="Arial" w:hAnsi="Arial" w:cs="Arial"/>
          <w:sz w:val="24"/>
          <w:szCs w:val="24"/>
        </w:rPr>
      </w:pPr>
      <w:r>
        <w:rPr>
          <w:rFonts w:ascii="Arial" w:hAnsi="Arial" w:cs="Arial"/>
          <w:sz w:val="24"/>
          <w:szCs w:val="24"/>
        </w:rPr>
        <w:t>Allocation of this site will also lead to loss of Grade 2 agricultural land and functionally linked habitat for golden plover and lapwing linked to the Special Protection Area.</w:t>
      </w:r>
    </w:p>
    <w:p w14:paraId="61C610AF" w14:textId="77777777" w:rsidR="009968C2" w:rsidRPr="0036105B" w:rsidRDefault="009968C2" w:rsidP="0036105B">
      <w:pPr>
        <w:pStyle w:val="ListParagraph"/>
        <w:spacing w:line="360" w:lineRule="auto"/>
        <w:rPr>
          <w:rFonts w:ascii="Arial" w:hAnsi="Arial" w:cs="Arial"/>
          <w:sz w:val="24"/>
          <w:szCs w:val="24"/>
        </w:rPr>
      </w:pPr>
    </w:p>
    <w:p w14:paraId="01921A4D" w14:textId="7832E390" w:rsidR="00E23635" w:rsidRDefault="00E23635"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On these matters the Council’s own SAMLA concludes:</w:t>
      </w:r>
    </w:p>
    <w:p w14:paraId="53510957" w14:textId="77777777" w:rsidR="00505361" w:rsidRPr="0036105B" w:rsidRDefault="00505361" w:rsidP="00505361">
      <w:pPr>
        <w:pStyle w:val="ListParagraph"/>
        <w:spacing w:line="360" w:lineRule="auto"/>
        <w:rPr>
          <w:rFonts w:ascii="Arial" w:hAnsi="Arial" w:cs="Arial"/>
          <w:sz w:val="24"/>
          <w:szCs w:val="24"/>
        </w:rPr>
      </w:pPr>
    </w:p>
    <w:p w14:paraId="251B51FC" w14:textId="059A6B0C" w:rsidR="00E23635" w:rsidRPr="0036105B" w:rsidRDefault="00E23635" w:rsidP="0036105B">
      <w:pPr>
        <w:pStyle w:val="ListParagraph"/>
        <w:spacing w:line="360" w:lineRule="auto"/>
        <w:ind w:left="1440"/>
        <w:rPr>
          <w:rFonts w:ascii="Arial" w:hAnsi="Arial" w:cs="Arial"/>
          <w:i/>
          <w:iCs/>
          <w:sz w:val="24"/>
          <w:szCs w:val="24"/>
        </w:rPr>
      </w:pPr>
      <w:r w:rsidRPr="0036105B">
        <w:rPr>
          <w:rFonts w:ascii="Arial" w:hAnsi="Arial" w:cs="Arial"/>
          <w:i/>
          <w:iCs/>
          <w:sz w:val="24"/>
          <w:szCs w:val="24"/>
        </w:rPr>
        <w:t>“Significant negative effect likely on proximity of designated sites/ on avoid loss of greenfield land/ on avoid loss of high quality agricultural land.”</w:t>
      </w:r>
    </w:p>
    <w:p w14:paraId="10094F54" w14:textId="77777777" w:rsidR="009968C2" w:rsidRPr="0036105B" w:rsidRDefault="009968C2" w:rsidP="0036105B">
      <w:pPr>
        <w:pStyle w:val="ListParagraph"/>
        <w:spacing w:line="360" w:lineRule="auto"/>
        <w:ind w:left="1440"/>
        <w:rPr>
          <w:rFonts w:ascii="Arial" w:hAnsi="Arial" w:cs="Arial"/>
          <w:i/>
          <w:iCs/>
          <w:sz w:val="24"/>
          <w:szCs w:val="24"/>
        </w:rPr>
      </w:pPr>
    </w:p>
    <w:p w14:paraId="40B4D507" w14:textId="45C5D4E3" w:rsidR="00632A5E" w:rsidRPr="0036105B" w:rsidRDefault="00632A5E"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 xml:space="preserve">Rather than deal with these issues now </w:t>
      </w:r>
      <w:r w:rsidR="00505361">
        <w:rPr>
          <w:rFonts w:ascii="Arial" w:hAnsi="Arial" w:cs="Arial"/>
          <w:sz w:val="24"/>
          <w:szCs w:val="24"/>
        </w:rPr>
        <w:t xml:space="preserve">Policy 41 merely says they will be subject to further study and suitable </w:t>
      </w:r>
      <w:r w:rsidRPr="0036105B">
        <w:rPr>
          <w:rFonts w:ascii="Arial" w:hAnsi="Arial" w:cs="Arial"/>
          <w:sz w:val="24"/>
          <w:szCs w:val="24"/>
        </w:rPr>
        <w:t>mitigation.</w:t>
      </w:r>
      <w:r w:rsidR="00505361">
        <w:rPr>
          <w:rFonts w:ascii="Arial" w:hAnsi="Arial" w:cs="Arial"/>
          <w:sz w:val="24"/>
          <w:szCs w:val="24"/>
        </w:rPr>
        <w:t xml:space="preserve"> Without knowing the impact development of The Green may have the site should not be allocated.</w:t>
      </w:r>
    </w:p>
    <w:p w14:paraId="1CEE6188" w14:textId="7D2C15C4" w:rsidR="009968C2" w:rsidRDefault="009968C2" w:rsidP="0036105B">
      <w:pPr>
        <w:pStyle w:val="ListParagraph"/>
        <w:spacing w:line="360" w:lineRule="auto"/>
        <w:rPr>
          <w:rFonts w:ascii="Arial" w:hAnsi="Arial" w:cs="Arial"/>
          <w:sz w:val="24"/>
          <w:szCs w:val="24"/>
        </w:rPr>
      </w:pPr>
    </w:p>
    <w:p w14:paraId="45F12C9E" w14:textId="560BD08E" w:rsidR="0064046D" w:rsidRPr="001353AE" w:rsidRDefault="00B20F97" w:rsidP="0036105B">
      <w:pPr>
        <w:pStyle w:val="ListParagraph"/>
        <w:spacing w:line="360" w:lineRule="auto"/>
        <w:rPr>
          <w:rFonts w:ascii="Arial" w:hAnsi="Arial" w:cs="Arial"/>
          <w:sz w:val="24"/>
          <w:szCs w:val="24"/>
          <w:u w:val="single"/>
        </w:rPr>
      </w:pPr>
      <w:r w:rsidRPr="001353AE">
        <w:rPr>
          <w:rFonts w:ascii="Arial" w:hAnsi="Arial" w:cs="Arial"/>
          <w:sz w:val="24"/>
          <w:szCs w:val="24"/>
          <w:u w:val="single"/>
        </w:rPr>
        <w:t>Pressure on local services</w:t>
      </w:r>
    </w:p>
    <w:p w14:paraId="1E4CC9B4" w14:textId="77777777" w:rsidR="009968C2" w:rsidRPr="0036105B" w:rsidRDefault="009968C2" w:rsidP="0036105B">
      <w:pPr>
        <w:pStyle w:val="ListParagraph"/>
        <w:spacing w:line="360" w:lineRule="auto"/>
        <w:rPr>
          <w:rFonts w:ascii="Arial" w:hAnsi="Arial" w:cs="Arial"/>
          <w:b/>
          <w:bCs/>
          <w:sz w:val="24"/>
          <w:szCs w:val="24"/>
          <w:u w:val="single"/>
        </w:rPr>
      </w:pPr>
    </w:p>
    <w:p w14:paraId="565B965C" w14:textId="23B5037E" w:rsidR="00501F37" w:rsidRPr="0036105B" w:rsidRDefault="00D61454" w:rsidP="0036105B">
      <w:pPr>
        <w:pStyle w:val="ListParagraph"/>
        <w:numPr>
          <w:ilvl w:val="0"/>
          <w:numId w:val="5"/>
        </w:numPr>
        <w:suppressAutoHyphens/>
        <w:autoSpaceDN w:val="0"/>
        <w:spacing w:after="200" w:line="360" w:lineRule="auto"/>
        <w:textAlignment w:val="baseline"/>
        <w:rPr>
          <w:rFonts w:ascii="Arial" w:hAnsi="Arial" w:cs="Arial"/>
          <w:sz w:val="24"/>
          <w:szCs w:val="24"/>
        </w:rPr>
      </w:pPr>
      <w:r w:rsidRPr="0036105B">
        <w:rPr>
          <w:rFonts w:ascii="Arial" w:hAnsi="Arial" w:cs="Arial"/>
          <w:sz w:val="24"/>
          <w:szCs w:val="24"/>
        </w:rPr>
        <w:t>Additional</w:t>
      </w:r>
      <w:r w:rsidR="00B20F97" w:rsidRPr="0036105B">
        <w:rPr>
          <w:rFonts w:ascii="Arial" w:hAnsi="Arial" w:cs="Arial"/>
          <w:sz w:val="24"/>
          <w:szCs w:val="24"/>
        </w:rPr>
        <w:t xml:space="preserve"> residents will mean greater pressure on services including schools, doctors and dental surgeries</w:t>
      </w:r>
      <w:r w:rsidR="000B54CA" w:rsidRPr="0036105B">
        <w:rPr>
          <w:rFonts w:ascii="Arial" w:hAnsi="Arial" w:cs="Arial"/>
          <w:sz w:val="24"/>
          <w:szCs w:val="24"/>
        </w:rPr>
        <w:t xml:space="preserve"> etc</w:t>
      </w:r>
      <w:r w:rsidR="00B20F97" w:rsidRPr="0036105B">
        <w:rPr>
          <w:rFonts w:ascii="Arial" w:hAnsi="Arial" w:cs="Arial"/>
          <w:sz w:val="24"/>
          <w:szCs w:val="24"/>
        </w:rPr>
        <w:t xml:space="preserve">. In particular, the local primary schools are Wootton, Caroline Chisholm and Preston Hedges, all of which are oversubscribed to the extent that applications are in some cases limited to those living within half a mile. </w:t>
      </w:r>
      <w:r w:rsidR="00A87ADB">
        <w:rPr>
          <w:rFonts w:ascii="Arial" w:hAnsi="Arial" w:cs="Arial"/>
          <w:sz w:val="24"/>
          <w:szCs w:val="24"/>
        </w:rPr>
        <w:t xml:space="preserve">Great Houghton’s </w:t>
      </w:r>
      <w:r w:rsidR="00B20F97" w:rsidRPr="0036105B">
        <w:rPr>
          <w:rFonts w:ascii="Arial" w:hAnsi="Arial" w:cs="Arial"/>
          <w:sz w:val="24"/>
          <w:szCs w:val="24"/>
        </w:rPr>
        <w:t>local primary school is in Little Houghton</w:t>
      </w:r>
      <w:r w:rsidR="00A87ADB">
        <w:rPr>
          <w:rFonts w:ascii="Arial" w:hAnsi="Arial" w:cs="Arial"/>
          <w:sz w:val="24"/>
          <w:szCs w:val="24"/>
        </w:rPr>
        <w:t xml:space="preserve">. This </w:t>
      </w:r>
      <w:r w:rsidR="00B20F97" w:rsidRPr="0036105B">
        <w:rPr>
          <w:rFonts w:ascii="Arial" w:hAnsi="Arial" w:cs="Arial"/>
          <w:sz w:val="24"/>
          <w:szCs w:val="24"/>
        </w:rPr>
        <w:t>is a small village</w:t>
      </w:r>
      <w:r w:rsidRPr="0036105B">
        <w:rPr>
          <w:rFonts w:ascii="Arial" w:hAnsi="Arial" w:cs="Arial"/>
          <w:sz w:val="24"/>
          <w:szCs w:val="24"/>
        </w:rPr>
        <w:t xml:space="preserve"> school (it currently has just under 100 pupils and is almost full)</w:t>
      </w:r>
      <w:r w:rsidR="00B20F97" w:rsidRPr="0036105B">
        <w:rPr>
          <w:rFonts w:ascii="Arial" w:hAnsi="Arial" w:cs="Arial"/>
          <w:sz w:val="24"/>
          <w:szCs w:val="24"/>
        </w:rPr>
        <w:t xml:space="preserve"> </w:t>
      </w:r>
      <w:r w:rsidR="00A87ADB">
        <w:rPr>
          <w:rFonts w:ascii="Arial" w:hAnsi="Arial" w:cs="Arial"/>
          <w:sz w:val="24"/>
          <w:szCs w:val="24"/>
        </w:rPr>
        <w:t xml:space="preserve">and </w:t>
      </w:r>
      <w:r w:rsidR="000B54CA" w:rsidRPr="0036105B">
        <w:rPr>
          <w:rFonts w:ascii="Arial" w:hAnsi="Arial" w:cs="Arial"/>
          <w:sz w:val="24"/>
          <w:szCs w:val="24"/>
        </w:rPr>
        <w:t>would not have the necessary capacity</w:t>
      </w:r>
      <w:r w:rsidR="0043221F" w:rsidRPr="0036105B">
        <w:rPr>
          <w:rFonts w:ascii="Arial" w:hAnsi="Arial" w:cs="Arial"/>
          <w:sz w:val="24"/>
          <w:szCs w:val="24"/>
        </w:rPr>
        <w:t xml:space="preserve"> for a development of this size</w:t>
      </w:r>
      <w:r w:rsidR="00B20F97" w:rsidRPr="0036105B">
        <w:rPr>
          <w:rFonts w:ascii="Arial" w:hAnsi="Arial" w:cs="Arial"/>
          <w:sz w:val="24"/>
          <w:szCs w:val="24"/>
        </w:rPr>
        <w:t>.</w:t>
      </w:r>
      <w:r w:rsidR="000B54CA" w:rsidRPr="0036105B">
        <w:rPr>
          <w:rFonts w:ascii="Arial" w:hAnsi="Arial" w:cs="Arial"/>
          <w:sz w:val="24"/>
          <w:szCs w:val="24"/>
        </w:rPr>
        <w:t xml:space="preserve"> The development needs to be self</w:t>
      </w:r>
      <w:r w:rsidR="0043221F" w:rsidRPr="0036105B">
        <w:rPr>
          <w:rFonts w:ascii="Arial" w:hAnsi="Arial" w:cs="Arial"/>
          <w:sz w:val="24"/>
          <w:szCs w:val="24"/>
        </w:rPr>
        <w:t>-s</w:t>
      </w:r>
      <w:r w:rsidR="000B54CA" w:rsidRPr="0036105B">
        <w:rPr>
          <w:rFonts w:ascii="Arial" w:hAnsi="Arial" w:cs="Arial"/>
          <w:sz w:val="24"/>
          <w:szCs w:val="24"/>
        </w:rPr>
        <w:t>ustaining</w:t>
      </w:r>
      <w:r w:rsidRPr="0036105B">
        <w:rPr>
          <w:rFonts w:ascii="Arial" w:hAnsi="Arial" w:cs="Arial"/>
          <w:sz w:val="24"/>
          <w:szCs w:val="24"/>
        </w:rPr>
        <w:t xml:space="preserve"> in this respect</w:t>
      </w:r>
      <w:r w:rsidR="000B54CA" w:rsidRPr="0036105B">
        <w:rPr>
          <w:rFonts w:ascii="Arial" w:hAnsi="Arial" w:cs="Arial"/>
          <w:sz w:val="24"/>
          <w:szCs w:val="24"/>
        </w:rPr>
        <w:t xml:space="preserve"> as existing resources are insufficient.</w:t>
      </w:r>
      <w:r w:rsidR="00A87ADB">
        <w:rPr>
          <w:rFonts w:ascii="Arial" w:hAnsi="Arial" w:cs="Arial"/>
          <w:sz w:val="24"/>
          <w:szCs w:val="24"/>
        </w:rPr>
        <w:t xml:space="preserve"> This is a further drain on already scarce resources.</w:t>
      </w:r>
    </w:p>
    <w:p w14:paraId="517A5908" w14:textId="77777777" w:rsidR="009968C2" w:rsidRPr="0036105B" w:rsidRDefault="009968C2" w:rsidP="0036105B">
      <w:pPr>
        <w:pStyle w:val="ListParagraph"/>
        <w:suppressAutoHyphens/>
        <w:autoSpaceDN w:val="0"/>
        <w:spacing w:after="200" w:line="360" w:lineRule="auto"/>
        <w:textAlignment w:val="baseline"/>
        <w:rPr>
          <w:rFonts w:ascii="Arial" w:hAnsi="Arial" w:cs="Arial"/>
          <w:sz w:val="24"/>
          <w:szCs w:val="24"/>
        </w:rPr>
      </w:pPr>
    </w:p>
    <w:p w14:paraId="59FAE980" w14:textId="20D667AF" w:rsidR="00484BBB" w:rsidRPr="0036105B" w:rsidRDefault="00C138F4" w:rsidP="0036105B">
      <w:pPr>
        <w:pStyle w:val="ListParagraph"/>
        <w:suppressAutoHyphens/>
        <w:autoSpaceDN w:val="0"/>
        <w:spacing w:after="200" w:line="360" w:lineRule="auto"/>
        <w:textAlignment w:val="baseline"/>
        <w:rPr>
          <w:rFonts w:ascii="Arial" w:eastAsia="Calibri" w:hAnsi="Arial" w:cs="Arial"/>
          <w:b/>
          <w:bCs/>
          <w:sz w:val="24"/>
          <w:szCs w:val="24"/>
        </w:rPr>
      </w:pPr>
      <w:r w:rsidRPr="0036105B">
        <w:rPr>
          <w:rFonts w:ascii="Arial" w:eastAsia="Calibri" w:hAnsi="Arial" w:cs="Arial"/>
          <w:b/>
          <w:bCs/>
          <w:sz w:val="24"/>
          <w:szCs w:val="24"/>
        </w:rPr>
        <w:t xml:space="preserve">Effective </w:t>
      </w:r>
    </w:p>
    <w:p w14:paraId="5C546ED4" w14:textId="77777777" w:rsidR="009968C2" w:rsidRPr="0036105B" w:rsidRDefault="009968C2" w:rsidP="0036105B">
      <w:pPr>
        <w:pStyle w:val="ListParagraph"/>
        <w:suppressAutoHyphens/>
        <w:autoSpaceDN w:val="0"/>
        <w:spacing w:after="200" w:line="360" w:lineRule="auto"/>
        <w:textAlignment w:val="baseline"/>
        <w:rPr>
          <w:rFonts w:ascii="Arial" w:eastAsia="Calibri" w:hAnsi="Arial" w:cs="Arial"/>
          <w:sz w:val="24"/>
          <w:szCs w:val="24"/>
        </w:rPr>
      </w:pPr>
    </w:p>
    <w:p w14:paraId="3263F332" w14:textId="6D2B4A86" w:rsidR="00C138F4" w:rsidRPr="0036105B" w:rsidRDefault="00EA4E96" w:rsidP="0036105B">
      <w:pPr>
        <w:pStyle w:val="ListParagraph"/>
        <w:numPr>
          <w:ilvl w:val="0"/>
          <w:numId w:val="5"/>
        </w:numPr>
        <w:suppressAutoHyphens/>
        <w:autoSpaceDN w:val="0"/>
        <w:spacing w:after="200" w:line="360" w:lineRule="auto"/>
        <w:textAlignment w:val="baseline"/>
        <w:rPr>
          <w:rFonts w:ascii="Arial" w:eastAsia="Calibri" w:hAnsi="Arial" w:cs="Arial"/>
          <w:sz w:val="24"/>
          <w:szCs w:val="24"/>
        </w:rPr>
      </w:pPr>
      <w:r w:rsidRPr="0036105B">
        <w:rPr>
          <w:rFonts w:ascii="Arial" w:eastAsia="Calibri" w:hAnsi="Arial" w:cs="Arial"/>
          <w:sz w:val="24"/>
          <w:szCs w:val="24"/>
        </w:rPr>
        <w:t xml:space="preserve">The third test of soundness </w:t>
      </w:r>
      <w:r w:rsidR="000C4631" w:rsidRPr="0036105B">
        <w:rPr>
          <w:rFonts w:ascii="Arial" w:eastAsia="Calibri" w:hAnsi="Arial" w:cs="Arial"/>
          <w:sz w:val="24"/>
          <w:szCs w:val="24"/>
        </w:rPr>
        <w:t xml:space="preserve">concerns </w:t>
      </w:r>
      <w:r w:rsidRPr="0036105B">
        <w:rPr>
          <w:rFonts w:ascii="Arial" w:eastAsia="Calibri" w:hAnsi="Arial" w:cs="Arial"/>
          <w:sz w:val="24"/>
          <w:szCs w:val="24"/>
        </w:rPr>
        <w:t xml:space="preserve">is the plan effective? </w:t>
      </w:r>
      <w:r w:rsidR="00484BBB" w:rsidRPr="0036105B">
        <w:rPr>
          <w:rFonts w:ascii="Arial" w:eastAsia="Calibri" w:hAnsi="Arial" w:cs="Arial"/>
          <w:sz w:val="24"/>
          <w:szCs w:val="24"/>
        </w:rPr>
        <w:t xml:space="preserve">This response has already demonstrated that the Local Plan Part 2 strategy is not </w:t>
      </w:r>
      <w:r w:rsidR="00C138F4" w:rsidRPr="0036105B">
        <w:rPr>
          <w:rFonts w:ascii="Arial" w:eastAsia="Calibri" w:hAnsi="Arial" w:cs="Arial"/>
          <w:sz w:val="24"/>
          <w:szCs w:val="24"/>
        </w:rPr>
        <w:t xml:space="preserve">deliverable over the plan </w:t>
      </w:r>
      <w:r w:rsidR="00C138F4" w:rsidRPr="00DB0A18">
        <w:rPr>
          <w:rFonts w:ascii="Arial" w:eastAsia="Calibri" w:hAnsi="Arial" w:cs="Arial"/>
          <w:sz w:val="24"/>
          <w:szCs w:val="24"/>
        </w:rPr>
        <w:t>period</w:t>
      </w:r>
      <w:r w:rsidR="00484BBB" w:rsidRPr="00DB0A18">
        <w:rPr>
          <w:rFonts w:ascii="Arial" w:eastAsia="Calibri" w:hAnsi="Arial" w:cs="Arial"/>
          <w:sz w:val="24"/>
          <w:szCs w:val="24"/>
        </w:rPr>
        <w:t xml:space="preserve"> </w:t>
      </w:r>
      <w:r w:rsidR="00DB0A18" w:rsidRPr="00DB0A18">
        <w:rPr>
          <w:rFonts w:ascii="Arial" w:eastAsia="Calibri" w:hAnsi="Arial" w:cs="Arial"/>
          <w:sz w:val="24"/>
          <w:szCs w:val="24"/>
        </w:rPr>
        <w:t>(</w:t>
      </w:r>
      <w:r w:rsidR="00A87ADB" w:rsidRPr="00DB0A18">
        <w:rPr>
          <w:rFonts w:ascii="Arial" w:eastAsia="Calibri" w:hAnsi="Arial" w:cs="Arial"/>
          <w:sz w:val="24"/>
          <w:szCs w:val="24"/>
        </w:rPr>
        <w:t>see paragraph</w:t>
      </w:r>
      <w:r w:rsidR="005F3E22">
        <w:rPr>
          <w:rFonts w:ascii="Arial" w:eastAsia="Calibri" w:hAnsi="Arial" w:cs="Arial"/>
          <w:sz w:val="24"/>
          <w:szCs w:val="24"/>
        </w:rPr>
        <w:t>s 3 to</w:t>
      </w:r>
      <w:r w:rsidR="00DB0A18" w:rsidRPr="00DB0A18">
        <w:rPr>
          <w:rFonts w:ascii="Arial" w:eastAsia="Calibri" w:hAnsi="Arial" w:cs="Arial"/>
          <w:sz w:val="24"/>
          <w:szCs w:val="24"/>
        </w:rPr>
        <w:t xml:space="preserve"> 16 of this response)</w:t>
      </w:r>
      <w:r w:rsidRPr="00DB0A18">
        <w:rPr>
          <w:rFonts w:ascii="Arial" w:eastAsia="Calibri" w:hAnsi="Arial" w:cs="Arial"/>
          <w:sz w:val="24"/>
          <w:szCs w:val="24"/>
        </w:rPr>
        <w:t>.</w:t>
      </w:r>
    </w:p>
    <w:p w14:paraId="7F6006D7" w14:textId="30D6F96E" w:rsidR="009968C2" w:rsidRDefault="009968C2" w:rsidP="0036105B">
      <w:pPr>
        <w:pStyle w:val="ListParagraph"/>
        <w:suppressAutoHyphens/>
        <w:autoSpaceDN w:val="0"/>
        <w:spacing w:after="200" w:line="360" w:lineRule="auto"/>
        <w:textAlignment w:val="baseline"/>
        <w:rPr>
          <w:rFonts w:ascii="Arial" w:eastAsia="Calibri" w:hAnsi="Arial" w:cs="Arial"/>
          <w:sz w:val="24"/>
          <w:szCs w:val="24"/>
        </w:rPr>
      </w:pPr>
    </w:p>
    <w:p w14:paraId="422BC974" w14:textId="77777777" w:rsidR="005F3E22" w:rsidRPr="0036105B" w:rsidRDefault="005F3E22" w:rsidP="0036105B">
      <w:pPr>
        <w:pStyle w:val="ListParagraph"/>
        <w:suppressAutoHyphens/>
        <w:autoSpaceDN w:val="0"/>
        <w:spacing w:after="200" w:line="360" w:lineRule="auto"/>
        <w:textAlignment w:val="baseline"/>
        <w:rPr>
          <w:rFonts w:ascii="Arial" w:eastAsia="Calibri" w:hAnsi="Arial" w:cs="Arial"/>
          <w:sz w:val="24"/>
          <w:szCs w:val="24"/>
        </w:rPr>
      </w:pPr>
    </w:p>
    <w:p w14:paraId="0ADDAAD4" w14:textId="21F3597F" w:rsidR="00FB4D42" w:rsidRPr="0036105B" w:rsidRDefault="006007AE" w:rsidP="0036105B">
      <w:pPr>
        <w:pStyle w:val="ListParagraph"/>
        <w:spacing w:line="360" w:lineRule="auto"/>
        <w:rPr>
          <w:rFonts w:ascii="Arial" w:hAnsi="Arial" w:cs="Arial"/>
          <w:b/>
          <w:bCs/>
          <w:sz w:val="24"/>
          <w:szCs w:val="24"/>
        </w:rPr>
      </w:pPr>
      <w:r w:rsidRPr="0036105B">
        <w:rPr>
          <w:rFonts w:ascii="Arial" w:hAnsi="Arial" w:cs="Arial"/>
          <w:b/>
          <w:bCs/>
          <w:sz w:val="24"/>
          <w:szCs w:val="24"/>
        </w:rPr>
        <w:t>Consistent with national policy</w:t>
      </w:r>
    </w:p>
    <w:p w14:paraId="0FBD2C7D" w14:textId="77777777" w:rsidR="009968C2" w:rsidRPr="0036105B" w:rsidRDefault="009968C2" w:rsidP="0036105B">
      <w:pPr>
        <w:pStyle w:val="ListParagraph"/>
        <w:spacing w:line="360" w:lineRule="auto"/>
        <w:rPr>
          <w:rFonts w:ascii="Arial" w:hAnsi="Arial" w:cs="Arial"/>
          <w:sz w:val="24"/>
          <w:szCs w:val="24"/>
        </w:rPr>
      </w:pPr>
    </w:p>
    <w:p w14:paraId="63DC78DE" w14:textId="67607898" w:rsidR="001739DF" w:rsidRPr="0036105B" w:rsidRDefault="001739DF"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 xml:space="preserve">The Green housing land allocation would not enable sustainable development in accordance with the policies of the NPPF. </w:t>
      </w:r>
    </w:p>
    <w:p w14:paraId="7AFF6077" w14:textId="77777777" w:rsidR="009968C2" w:rsidRPr="0036105B" w:rsidRDefault="009968C2" w:rsidP="0036105B">
      <w:pPr>
        <w:pStyle w:val="ListParagraph"/>
        <w:spacing w:line="360" w:lineRule="auto"/>
        <w:rPr>
          <w:rFonts w:ascii="Arial" w:hAnsi="Arial" w:cs="Arial"/>
          <w:sz w:val="24"/>
          <w:szCs w:val="24"/>
        </w:rPr>
      </w:pPr>
    </w:p>
    <w:p w14:paraId="3051F4A7" w14:textId="3224C219" w:rsidR="00BE5686" w:rsidRPr="0036105B" w:rsidRDefault="00BE5686"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Whilst The Green allocation would contribute to the national aim of increasing housing growth, this is unnecessary at this time, on an inappropriate site and comes with significant negative costs – many of which remain to be quantified.</w:t>
      </w:r>
    </w:p>
    <w:p w14:paraId="4736FF24" w14:textId="77777777" w:rsidR="009968C2" w:rsidRPr="0036105B" w:rsidRDefault="009968C2" w:rsidP="0036105B">
      <w:pPr>
        <w:pStyle w:val="ListParagraph"/>
        <w:spacing w:line="360" w:lineRule="auto"/>
        <w:rPr>
          <w:rFonts w:ascii="Arial" w:hAnsi="Arial" w:cs="Arial"/>
          <w:sz w:val="24"/>
          <w:szCs w:val="24"/>
        </w:rPr>
      </w:pPr>
    </w:p>
    <w:p w14:paraId="72582B3D" w14:textId="23E6DB8D" w:rsidR="00BE5686" w:rsidRPr="0036105B" w:rsidRDefault="00BE5686"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 xml:space="preserve">Paragraph 72 </w:t>
      </w:r>
      <w:r w:rsidR="00550B11" w:rsidRPr="0036105B">
        <w:rPr>
          <w:rFonts w:ascii="Arial" w:hAnsi="Arial" w:cs="Arial"/>
          <w:sz w:val="24"/>
          <w:szCs w:val="24"/>
        </w:rPr>
        <w:t xml:space="preserve">of the NPPF provides specific policy guidance </w:t>
      </w:r>
      <w:r w:rsidR="00197776" w:rsidRPr="0036105B">
        <w:rPr>
          <w:rFonts w:ascii="Arial" w:hAnsi="Arial" w:cs="Arial"/>
          <w:sz w:val="24"/>
          <w:szCs w:val="24"/>
        </w:rPr>
        <w:t>for those seeking to identity large sites:</w:t>
      </w:r>
    </w:p>
    <w:p w14:paraId="6A817109" w14:textId="77777777" w:rsidR="009968C2" w:rsidRPr="0036105B" w:rsidRDefault="009968C2" w:rsidP="0036105B">
      <w:pPr>
        <w:pStyle w:val="ListParagraph"/>
        <w:spacing w:line="360" w:lineRule="auto"/>
        <w:rPr>
          <w:rFonts w:ascii="Arial" w:hAnsi="Arial" w:cs="Arial"/>
          <w:sz w:val="24"/>
          <w:szCs w:val="24"/>
        </w:rPr>
      </w:pPr>
    </w:p>
    <w:p w14:paraId="3BEFBEF2" w14:textId="02DA44AF" w:rsidR="00197776" w:rsidRPr="0036105B" w:rsidRDefault="00197776" w:rsidP="0036105B">
      <w:pPr>
        <w:pStyle w:val="ListParagraph"/>
        <w:spacing w:line="360" w:lineRule="auto"/>
        <w:ind w:left="1440"/>
        <w:rPr>
          <w:rFonts w:ascii="Arial" w:hAnsi="Arial" w:cs="Arial"/>
          <w:i/>
          <w:iCs/>
          <w:sz w:val="24"/>
          <w:szCs w:val="24"/>
        </w:rPr>
      </w:pPr>
      <w:r w:rsidRPr="0036105B">
        <w:rPr>
          <w:rFonts w:ascii="Arial" w:hAnsi="Arial" w:cs="Arial"/>
          <w:i/>
          <w:iCs/>
          <w:sz w:val="24"/>
          <w:szCs w:val="24"/>
        </w:rPr>
        <w:t>“72. The supply of large numbers of new homes can often be best achieved through planning for larger scale development, such as new settlements or significant extensions to existing villages and towns, provided they are well located and designed, and supported by the necessary infrastructure and facilities. Working with the support of their communities, and with other authorities if appropriate, strategic policy-making authorities should identify suitable locations for such development where this can help to meet identified needs in a sustainable way. In doing so, they should:</w:t>
      </w:r>
    </w:p>
    <w:p w14:paraId="0A899BF5" w14:textId="77777777" w:rsidR="009968C2" w:rsidRPr="0036105B" w:rsidRDefault="009968C2" w:rsidP="0036105B">
      <w:pPr>
        <w:pStyle w:val="ListParagraph"/>
        <w:spacing w:line="360" w:lineRule="auto"/>
        <w:ind w:left="1440"/>
        <w:rPr>
          <w:rFonts w:ascii="Arial" w:hAnsi="Arial" w:cs="Arial"/>
          <w:i/>
          <w:iCs/>
          <w:sz w:val="24"/>
          <w:szCs w:val="24"/>
        </w:rPr>
      </w:pPr>
    </w:p>
    <w:p w14:paraId="777D1656" w14:textId="6C0CEB26" w:rsidR="00197776" w:rsidRPr="0036105B" w:rsidRDefault="00197776" w:rsidP="0036105B">
      <w:pPr>
        <w:pStyle w:val="ListParagraph"/>
        <w:numPr>
          <w:ilvl w:val="2"/>
          <w:numId w:val="5"/>
        </w:numPr>
        <w:spacing w:line="360" w:lineRule="auto"/>
        <w:rPr>
          <w:rFonts w:ascii="Arial" w:hAnsi="Arial" w:cs="Arial"/>
          <w:i/>
          <w:iCs/>
          <w:sz w:val="24"/>
          <w:szCs w:val="24"/>
        </w:rPr>
      </w:pPr>
      <w:r w:rsidRPr="0036105B">
        <w:rPr>
          <w:rFonts w:ascii="Arial" w:hAnsi="Arial" w:cs="Arial"/>
          <w:i/>
          <w:iCs/>
          <w:sz w:val="24"/>
          <w:szCs w:val="24"/>
        </w:rPr>
        <w:t>consider the opportunities presented by existing or planned investment in infrastructure, the area’s economic potential and the scope for net environmental gains;</w:t>
      </w:r>
    </w:p>
    <w:p w14:paraId="14CEEBF0" w14:textId="5503B8BD" w:rsidR="00197776" w:rsidRPr="0036105B" w:rsidRDefault="00197776" w:rsidP="0036105B">
      <w:pPr>
        <w:pStyle w:val="ListParagraph"/>
        <w:numPr>
          <w:ilvl w:val="2"/>
          <w:numId w:val="5"/>
        </w:numPr>
        <w:spacing w:line="360" w:lineRule="auto"/>
        <w:rPr>
          <w:rFonts w:ascii="Arial" w:hAnsi="Arial" w:cs="Arial"/>
          <w:i/>
          <w:iCs/>
          <w:sz w:val="24"/>
          <w:szCs w:val="24"/>
        </w:rPr>
      </w:pPr>
      <w:r w:rsidRPr="0036105B">
        <w:rPr>
          <w:rFonts w:ascii="Arial" w:hAnsi="Arial" w:cs="Arial"/>
          <w:i/>
          <w:iCs/>
          <w:sz w:val="24"/>
          <w:szCs w:val="24"/>
        </w:rPr>
        <w:t>ensure that their size and location will support a sustainable community, with sufficient access to services and employment opportunities within the development itself (without expecting an unrealistic level of self-containment), or in larger towns to which there is good access;</w:t>
      </w:r>
    </w:p>
    <w:p w14:paraId="613E120E" w14:textId="114A1BF6" w:rsidR="00197776" w:rsidRPr="0036105B" w:rsidRDefault="00197776" w:rsidP="0036105B">
      <w:pPr>
        <w:pStyle w:val="ListParagraph"/>
        <w:numPr>
          <w:ilvl w:val="2"/>
          <w:numId w:val="5"/>
        </w:numPr>
        <w:spacing w:line="360" w:lineRule="auto"/>
        <w:rPr>
          <w:rFonts w:ascii="Arial" w:hAnsi="Arial" w:cs="Arial"/>
          <w:i/>
          <w:iCs/>
          <w:sz w:val="24"/>
          <w:szCs w:val="24"/>
        </w:rPr>
      </w:pPr>
      <w:r w:rsidRPr="0036105B">
        <w:rPr>
          <w:rFonts w:ascii="Arial" w:hAnsi="Arial" w:cs="Arial"/>
          <w:i/>
          <w:iCs/>
          <w:sz w:val="24"/>
          <w:szCs w:val="24"/>
        </w:rPr>
        <w:t>set clear expectations for the quality of the development and how this can be maintained (such as by following Garden City principles), and ensure that a variety of homes to meet the needs of different groups in the community will be provided;</w:t>
      </w:r>
    </w:p>
    <w:p w14:paraId="254781F2" w14:textId="5F040A38" w:rsidR="00197776" w:rsidRPr="0036105B" w:rsidRDefault="00197776" w:rsidP="0036105B">
      <w:pPr>
        <w:pStyle w:val="ListParagraph"/>
        <w:numPr>
          <w:ilvl w:val="2"/>
          <w:numId w:val="5"/>
        </w:numPr>
        <w:spacing w:line="360" w:lineRule="auto"/>
        <w:rPr>
          <w:rFonts w:ascii="Arial" w:hAnsi="Arial" w:cs="Arial"/>
          <w:i/>
          <w:iCs/>
          <w:sz w:val="24"/>
          <w:szCs w:val="24"/>
        </w:rPr>
      </w:pPr>
      <w:r w:rsidRPr="0036105B">
        <w:rPr>
          <w:rFonts w:ascii="Arial" w:hAnsi="Arial" w:cs="Arial"/>
          <w:i/>
          <w:iCs/>
          <w:sz w:val="24"/>
          <w:szCs w:val="24"/>
        </w:rPr>
        <w:t>make a realistic assessment of likely rates of delivery, given the lead-in times for large scale sites, and identify opportunities for supporting rapid implementation (such as through joint ventures or locally-led development corporations)35; and</w:t>
      </w:r>
    </w:p>
    <w:p w14:paraId="0F8BCAA2" w14:textId="5C30CA31" w:rsidR="00197776" w:rsidRPr="0036105B" w:rsidRDefault="00197776" w:rsidP="0036105B">
      <w:pPr>
        <w:pStyle w:val="ListParagraph"/>
        <w:numPr>
          <w:ilvl w:val="2"/>
          <w:numId w:val="5"/>
        </w:numPr>
        <w:spacing w:line="360" w:lineRule="auto"/>
        <w:rPr>
          <w:rFonts w:ascii="Arial" w:hAnsi="Arial" w:cs="Arial"/>
          <w:i/>
          <w:iCs/>
          <w:sz w:val="24"/>
          <w:szCs w:val="24"/>
        </w:rPr>
      </w:pPr>
      <w:r w:rsidRPr="0036105B">
        <w:rPr>
          <w:rFonts w:ascii="Arial" w:hAnsi="Arial" w:cs="Arial"/>
          <w:i/>
          <w:iCs/>
          <w:sz w:val="24"/>
          <w:szCs w:val="24"/>
        </w:rPr>
        <w:t>consider whether it is appropriate to establish Green Belt around or adjoining new developments of significant size.”</w:t>
      </w:r>
    </w:p>
    <w:p w14:paraId="56C98F82" w14:textId="77777777" w:rsidR="009968C2" w:rsidRPr="0036105B" w:rsidRDefault="009968C2" w:rsidP="0036105B">
      <w:pPr>
        <w:pStyle w:val="ListParagraph"/>
        <w:spacing w:line="360" w:lineRule="auto"/>
        <w:ind w:left="2340"/>
        <w:rPr>
          <w:rFonts w:ascii="Arial" w:hAnsi="Arial" w:cs="Arial"/>
          <w:i/>
          <w:iCs/>
          <w:sz w:val="24"/>
          <w:szCs w:val="24"/>
        </w:rPr>
      </w:pPr>
    </w:p>
    <w:p w14:paraId="4CDD5CAD" w14:textId="0D93575B" w:rsidR="000D7245" w:rsidRPr="0036105B" w:rsidRDefault="000D7245"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The Green is not well located or well supported by necessary infrastructure or facilities</w:t>
      </w:r>
      <w:r w:rsidR="00EE386D" w:rsidRPr="0036105B">
        <w:rPr>
          <w:rFonts w:ascii="Arial" w:hAnsi="Arial" w:cs="Arial"/>
          <w:sz w:val="24"/>
          <w:szCs w:val="24"/>
        </w:rPr>
        <w:t xml:space="preserve"> (paragraph 72a)</w:t>
      </w:r>
      <w:r w:rsidRPr="0036105B">
        <w:rPr>
          <w:rFonts w:ascii="Arial" w:hAnsi="Arial" w:cs="Arial"/>
          <w:sz w:val="24"/>
          <w:szCs w:val="24"/>
        </w:rPr>
        <w:t xml:space="preserve">. </w:t>
      </w:r>
      <w:r w:rsidR="00EE386D" w:rsidRPr="0036105B">
        <w:rPr>
          <w:rFonts w:ascii="Arial" w:hAnsi="Arial" w:cs="Arial"/>
          <w:sz w:val="24"/>
          <w:szCs w:val="24"/>
        </w:rPr>
        <w:t xml:space="preserve">The Green is not included within existing or planned investment for infrastructure – it will bring an additional and competing claim on such resources. </w:t>
      </w:r>
    </w:p>
    <w:p w14:paraId="688AEB77" w14:textId="77777777" w:rsidR="009968C2" w:rsidRPr="0036105B" w:rsidRDefault="009968C2" w:rsidP="0036105B">
      <w:pPr>
        <w:pStyle w:val="ListParagraph"/>
        <w:spacing w:line="360" w:lineRule="auto"/>
        <w:rPr>
          <w:rFonts w:ascii="Arial" w:hAnsi="Arial" w:cs="Arial"/>
          <w:sz w:val="24"/>
          <w:szCs w:val="24"/>
        </w:rPr>
      </w:pPr>
    </w:p>
    <w:p w14:paraId="2F797A6B" w14:textId="2AB9AE7A" w:rsidR="00EE386D" w:rsidRPr="0036105B" w:rsidRDefault="00EE386D"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The Green will not be a sustainable community (paragraph 72b). It will be car dependent with poor access to services, especially for those without access to a private car and limited access to employment opportunities. Neither of these will be available on site.</w:t>
      </w:r>
      <w:r w:rsidR="00D26918" w:rsidRPr="0036105B">
        <w:rPr>
          <w:rFonts w:ascii="Arial" w:hAnsi="Arial" w:cs="Arial"/>
          <w:sz w:val="24"/>
          <w:szCs w:val="24"/>
        </w:rPr>
        <w:t xml:space="preserve"> Policy 41 fails to identify how any needed infrastructure improvements </w:t>
      </w:r>
      <w:r w:rsidR="0079113E" w:rsidRPr="0036105B">
        <w:rPr>
          <w:rFonts w:ascii="Arial" w:hAnsi="Arial" w:cs="Arial"/>
          <w:sz w:val="24"/>
          <w:szCs w:val="24"/>
        </w:rPr>
        <w:t>will be funded or provided;</w:t>
      </w:r>
      <w:r w:rsidR="00D26918" w:rsidRPr="0036105B">
        <w:rPr>
          <w:rFonts w:ascii="Arial" w:hAnsi="Arial" w:cs="Arial"/>
          <w:sz w:val="24"/>
          <w:szCs w:val="24"/>
        </w:rPr>
        <w:t xml:space="preserve"> this is not consistent with paragraph 34 of the NPPF:</w:t>
      </w:r>
    </w:p>
    <w:p w14:paraId="7D2DD54B" w14:textId="77777777" w:rsidR="009968C2" w:rsidRPr="0036105B" w:rsidRDefault="009968C2" w:rsidP="0036105B">
      <w:pPr>
        <w:pStyle w:val="ListParagraph"/>
        <w:spacing w:line="360" w:lineRule="auto"/>
        <w:rPr>
          <w:rFonts w:ascii="Arial" w:hAnsi="Arial" w:cs="Arial"/>
          <w:sz w:val="24"/>
          <w:szCs w:val="24"/>
        </w:rPr>
      </w:pPr>
    </w:p>
    <w:p w14:paraId="5EC62863" w14:textId="328A8D30" w:rsidR="00D26918" w:rsidRPr="0036105B" w:rsidRDefault="00D26918" w:rsidP="0036105B">
      <w:pPr>
        <w:pStyle w:val="ListParagraph"/>
        <w:spacing w:line="360" w:lineRule="auto"/>
        <w:ind w:left="1440"/>
        <w:rPr>
          <w:rFonts w:ascii="Arial" w:hAnsi="Arial" w:cs="Arial"/>
          <w:i/>
          <w:iCs/>
          <w:sz w:val="24"/>
          <w:szCs w:val="24"/>
        </w:rPr>
      </w:pPr>
      <w:r w:rsidRPr="0036105B">
        <w:rPr>
          <w:rFonts w:ascii="Arial" w:hAnsi="Arial" w:cs="Arial"/>
          <w:i/>
          <w:iCs/>
          <w:sz w:val="24"/>
          <w:szCs w:val="24"/>
        </w:rPr>
        <w:t>“34. Plans should set out the contributions expected from development. This should include setting out the levels and types of affordable housing provision required, along with other infrastructure (such as that needed for education, health, transport, flood and water management, green and digital infrastructure). Such policies should not undermine the deliverability of the plan.”</w:t>
      </w:r>
    </w:p>
    <w:p w14:paraId="08572CC1" w14:textId="77777777" w:rsidR="009968C2" w:rsidRPr="0036105B" w:rsidRDefault="009968C2" w:rsidP="0036105B">
      <w:pPr>
        <w:pStyle w:val="ListParagraph"/>
        <w:spacing w:line="360" w:lineRule="auto"/>
        <w:ind w:left="1440"/>
        <w:rPr>
          <w:rFonts w:ascii="Arial" w:hAnsi="Arial" w:cs="Arial"/>
          <w:i/>
          <w:iCs/>
          <w:sz w:val="24"/>
          <w:szCs w:val="24"/>
        </w:rPr>
      </w:pPr>
    </w:p>
    <w:p w14:paraId="1E61E6D1" w14:textId="135C9214" w:rsidR="00D26918" w:rsidRPr="0036105B" w:rsidRDefault="00D26918"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By failing to quantify these needs the allocation of The Green undermines the deliverability of the WNJCS and Local Plan Part 2, we note our earlier points, and the Council’s own position, that delivery on large sites is persistently under delivering.</w:t>
      </w:r>
    </w:p>
    <w:p w14:paraId="615CB1F3" w14:textId="77777777" w:rsidR="009968C2" w:rsidRPr="0036105B" w:rsidRDefault="009968C2" w:rsidP="0036105B">
      <w:pPr>
        <w:pStyle w:val="ListParagraph"/>
        <w:spacing w:line="360" w:lineRule="auto"/>
        <w:rPr>
          <w:rFonts w:ascii="Arial" w:hAnsi="Arial" w:cs="Arial"/>
          <w:sz w:val="24"/>
          <w:szCs w:val="24"/>
        </w:rPr>
      </w:pPr>
    </w:p>
    <w:p w14:paraId="2618E72F" w14:textId="3C23A952" w:rsidR="00EE386D" w:rsidRPr="0036105B" w:rsidRDefault="00EE386D"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Policy 41 does set out a set a parameters for the quality of the development (paragraph 72c).</w:t>
      </w:r>
    </w:p>
    <w:p w14:paraId="3F2373CC" w14:textId="77777777" w:rsidR="009968C2" w:rsidRPr="0036105B" w:rsidRDefault="009968C2" w:rsidP="0036105B">
      <w:pPr>
        <w:pStyle w:val="ListParagraph"/>
        <w:spacing w:line="360" w:lineRule="auto"/>
        <w:rPr>
          <w:rFonts w:ascii="Arial" w:hAnsi="Arial" w:cs="Arial"/>
          <w:sz w:val="24"/>
          <w:szCs w:val="24"/>
        </w:rPr>
      </w:pPr>
    </w:p>
    <w:p w14:paraId="1F81714C" w14:textId="4E1E3E1D" w:rsidR="00EE386D" w:rsidRPr="0036105B" w:rsidRDefault="00EE386D"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Policy 41 does not make a realistic assessment of likely rates of delivery (paragraph 72d) nor does it set out any mechanism for how the site can be delivered.</w:t>
      </w:r>
    </w:p>
    <w:p w14:paraId="7941B2AD" w14:textId="77777777" w:rsidR="009968C2" w:rsidRPr="0036105B" w:rsidRDefault="009968C2" w:rsidP="0036105B">
      <w:pPr>
        <w:pStyle w:val="ListParagraph"/>
        <w:spacing w:line="360" w:lineRule="auto"/>
        <w:rPr>
          <w:rFonts w:ascii="Arial" w:hAnsi="Arial" w:cs="Arial"/>
          <w:sz w:val="24"/>
          <w:szCs w:val="24"/>
        </w:rPr>
      </w:pPr>
    </w:p>
    <w:p w14:paraId="6D0CDF66" w14:textId="0751E2E0" w:rsidR="00EE386D" w:rsidRDefault="00EE386D" w:rsidP="0036105B">
      <w:pPr>
        <w:pStyle w:val="ListParagraph"/>
        <w:numPr>
          <w:ilvl w:val="0"/>
          <w:numId w:val="5"/>
        </w:numPr>
        <w:spacing w:line="360" w:lineRule="auto"/>
        <w:rPr>
          <w:rFonts w:ascii="Arial" w:hAnsi="Arial" w:cs="Arial"/>
          <w:sz w:val="24"/>
          <w:szCs w:val="24"/>
        </w:rPr>
      </w:pPr>
      <w:r w:rsidRPr="0036105B">
        <w:rPr>
          <w:rFonts w:ascii="Arial" w:hAnsi="Arial" w:cs="Arial"/>
          <w:sz w:val="24"/>
          <w:szCs w:val="24"/>
        </w:rPr>
        <w:t>Paragraph 72d is not considered relevant.</w:t>
      </w:r>
    </w:p>
    <w:p w14:paraId="6B795D93" w14:textId="77777777" w:rsidR="001461F7" w:rsidRPr="0036105B" w:rsidRDefault="001461F7" w:rsidP="001461F7">
      <w:pPr>
        <w:pStyle w:val="ListParagraph"/>
        <w:spacing w:line="360" w:lineRule="auto"/>
        <w:rPr>
          <w:rFonts w:ascii="Arial" w:hAnsi="Arial" w:cs="Arial"/>
          <w:sz w:val="24"/>
          <w:szCs w:val="24"/>
        </w:rPr>
      </w:pPr>
    </w:p>
    <w:p w14:paraId="5223CD58" w14:textId="32A5BBCF" w:rsidR="003F7562" w:rsidRDefault="003F7562" w:rsidP="0036105B">
      <w:pPr>
        <w:pStyle w:val="ListParagraph"/>
        <w:numPr>
          <w:ilvl w:val="0"/>
          <w:numId w:val="5"/>
        </w:numPr>
        <w:spacing w:line="360" w:lineRule="auto"/>
        <w:rPr>
          <w:rFonts w:ascii="Arial" w:hAnsi="Arial" w:cs="Arial"/>
          <w:sz w:val="24"/>
          <w:szCs w:val="24"/>
        </w:rPr>
      </w:pPr>
      <w:r w:rsidRPr="003F7562">
        <w:rPr>
          <w:rFonts w:ascii="Arial" w:hAnsi="Arial" w:cs="Arial"/>
          <w:sz w:val="24"/>
          <w:szCs w:val="24"/>
        </w:rPr>
        <w:t xml:space="preserve">Paragraph </w:t>
      </w:r>
      <w:r w:rsidR="00AF11F5" w:rsidRPr="003F7562">
        <w:rPr>
          <w:rFonts w:ascii="Arial" w:hAnsi="Arial" w:cs="Arial"/>
          <w:sz w:val="24"/>
          <w:szCs w:val="24"/>
        </w:rPr>
        <w:t>103</w:t>
      </w:r>
      <w:r w:rsidRPr="003F7562">
        <w:rPr>
          <w:rFonts w:ascii="Arial" w:hAnsi="Arial" w:cs="Arial"/>
          <w:sz w:val="24"/>
          <w:szCs w:val="24"/>
        </w:rPr>
        <w:t xml:space="preserve"> of the NPPF states:</w:t>
      </w:r>
    </w:p>
    <w:p w14:paraId="1B22D097" w14:textId="21A8E2E9" w:rsidR="003F7562" w:rsidRDefault="003F7562" w:rsidP="003F7562">
      <w:pPr>
        <w:pStyle w:val="ListParagraph"/>
        <w:spacing w:line="360" w:lineRule="auto"/>
        <w:rPr>
          <w:rFonts w:ascii="Arial" w:hAnsi="Arial" w:cs="Arial"/>
          <w:sz w:val="24"/>
          <w:szCs w:val="24"/>
        </w:rPr>
      </w:pPr>
    </w:p>
    <w:p w14:paraId="6715C502" w14:textId="4A5D5D81" w:rsidR="003F7562" w:rsidRPr="0027185E" w:rsidRDefault="003F7562" w:rsidP="003F7562">
      <w:pPr>
        <w:pStyle w:val="ListParagraph"/>
        <w:spacing w:line="360" w:lineRule="auto"/>
        <w:ind w:left="1440"/>
        <w:rPr>
          <w:rFonts w:ascii="Arial" w:hAnsi="Arial" w:cs="Arial"/>
          <w:i/>
          <w:iCs/>
          <w:sz w:val="24"/>
          <w:szCs w:val="24"/>
        </w:rPr>
      </w:pPr>
      <w:r w:rsidRPr="0027185E">
        <w:rPr>
          <w:rFonts w:ascii="Arial" w:hAnsi="Arial" w:cs="Arial"/>
          <w:i/>
          <w:iCs/>
          <w:sz w:val="24"/>
          <w:szCs w:val="24"/>
        </w:rPr>
        <w:t>“Significant development should be focused on locations which are or can be made sustainable, through limiting the need to travel and offering a genuine choice of transport modes. This can help to reduce congestion and emissions, and improve air quality and public health.”</w:t>
      </w:r>
    </w:p>
    <w:p w14:paraId="7AD8FF0B" w14:textId="77777777" w:rsidR="00BB0F0B" w:rsidRPr="0027185E" w:rsidRDefault="00BB0F0B" w:rsidP="003F7562">
      <w:pPr>
        <w:pStyle w:val="ListParagraph"/>
        <w:spacing w:line="360" w:lineRule="auto"/>
        <w:ind w:left="1440"/>
        <w:rPr>
          <w:rFonts w:ascii="Arial" w:hAnsi="Arial" w:cs="Arial"/>
          <w:i/>
          <w:iCs/>
          <w:sz w:val="24"/>
          <w:szCs w:val="24"/>
        </w:rPr>
      </w:pPr>
    </w:p>
    <w:p w14:paraId="7F5CC572" w14:textId="3285E465" w:rsidR="00DA4DA1" w:rsidRPr="0027185E" w:rsidRDefault="003F7562" w:rsidP="00F920FC">
      <w:pPr>
        <w:pStyle w:val="ListParagraph"/>
        <w:numPr>
          <w:ilvl w:val="0"/>
          <w:numId w:val="5"/>
        </w:numPr>
        <w:spacing w:line="360" w:lineRule="auto"/>
        <w:rPr>
          <w:rFonts w:ascii="Arial" w:hAnsi="Arial" w:cs="Arial"/>
          <w:sz w:val="24"/>
          <w:szCs w:val="24"/>
        </w:rPr>
      </w:pPr>
      <w:r w:rsidRPr="0027185E">
        <w:rPr>
          <w:rFonts w:ascii="Arial" w:hAnsi="Arial" w:cs="Arial"/>
          <w:sz w:val="24"/>
          <w:szCs w:val="24"/>
        </w:rPr>
        <w:t xml:space="preserve">The Green allocation would be significant development and as has been shown elsewhere in this representation, development of this site is not sustainable: it does not limit the need to travel, there is no genuine choice of transport modes; as a result this will lead to increased congestion </w:t>
      </w:r>
      <w:r w:rsidR="00F920FC" w:rsidRPr="0027185E">
        <w:rPr>
          <w:rFonts w:ascii="Arial" w:hAnsi="Arial" w:cs="Arial"/>
          <w:sz w:val="24"/>
          <w:szCs w:val="24"/>
        </w:rPr>
        <w:t xml:space="preserve">and have negative impacts on air quality and public health. </w:t>
      </w:r>
    </w:p>
    <w:p w14:paraId="5597D374" w14:textId="77777777" w:rsidR="00F920FC" w:rsidRPr="0027185E" w:rsidRDefault="00F920FC" w:rsidP="00F920FC">
      <w:pPr>
        <w:pStyle w:val="ListParagraph"/>
        <w:spacing w:line="360" w:lineRule="auto"/>
        <w:rPr>
          <w:rFonts w:ascii="Arial" w:hAnsi="Arial" w:cs="Arial"/>
          <w:sz w:val="24"/>
          <w:szCs w:val="24"/>
        </w:rPr>
      </w:pPr>
    </w:p>
    <w:p w14:paraId="696C914A" w14:textId="6145D8FF" w:rsidR="001461F7" w:rsidRPr="001461F7" w:rsidRDefault="001461F7" w:rsidP="0036105B">
      <w:pPr>
        <w:pStyle w:val="ListParagraph"/>
        <w:spacing w:line="360" w:lineRule="auto"/>
        <w:rPr>
          <w:rFonts w:ascii="Arial" w:hAnsi="Arial" w:cs="Arial"/>
          <w:b/>
          <w:bCs/>
          <w:sz w:val="24"/>
          <w:szCs w:val="24"/>
        </w:rPr>
      </w:pPr>
      <w:r w:rsidRPr="0027185E">
        <w:rPr>
          <w:rFonts w:ascii="Arial" w:hAnsi="Arial" w:cs="Arial"/>
          <w:b/>
          <w:bCs/>
          <w:sz w:val="24"/>
          <w:szCs w:val="24"/>
        </w:rPr>
        <w:t>Conclusion</w:t>
      </w:r>
    </w:p>
    <w:p w14:paraId="21436027" w14:textId="77777777" w:rsidR="001461F7" w:rsidRPr="0036105B" w:rsidRDefault="001461F7" w:rsidP="0036105B">
      <w:pPr>
        <w:pStyle w:val="ListParagraph"/>
        <w:spacing w:line="360" w:lineRule="auto"/>
        <w:rPr>
          <w:rFonts w:ascii="Arial" w:hAnsi="Arial" w:cs="Arial"/>
          <w:sz w:val="24"/>
          <w:szCs w:val="24"/>
          <w:highlight w:val="yellow"/>
        </w:rPr>
      </w:pPr>
    </w:p>
    <w:p w14:paraId="69C67DBC" w14:textId="61078EA9" w:rsidR="00C03E7D" w:rsidRDefault="00F920FC" w:rsidP="00F920FC">
      <w:pPr>
        <w:pStyle w:val="ListParagraph"/>
        <w:numPr>
          <w:ilvl w:val="0"/>
          <w:numId w:val="5"/>
        </w:numPr>
        <w:spacing w:line="360" w:lineRule="auto"/>
        <w:rPr>
          <w:rFonts w:ascii="Arial" w:hAnsi="Arial" w:cs="Arial"/>
          <w:sz w:val="24"/>
          <w:szCs w:val="24"/>
        </w:rPr>
      </w:pPr>
      <w:r>
        <w:rPr>
          <w:rFonts w:ascii="Arial" w:hAnsi="Arial" w:cs="Arial"/>
          <w:sz w:val="24"/>
          <w:szCs w:val="24"/>
        </w:rPr>
        <w:t xml:space="preserve">The allocation of land at The Green </w:t>
      </w:r>
      <w:r w:rsidR="009D5915">
        <w:rPr>
          <w:rFonts w:ascii="Arial" w:hAnsi="Arial" w:cs="Arial"/>
          <w:sz w:val="24"/>
          <w:szCs w:val="24"/>
        </w:rPr>
        <w:t xml:space="preserve">as has been shown in this representation </w:t>
      </w:r>
      <w:r>
        <w:rPr>
          <w:rFonts w:ascii="Arial" w:hAnsi="Arial" w:cs="Arial"/>
          <w:sz w:val="24"/>
          <w:szCs w:val="24"/>
        </w:rPr>
        <w:t xml:space="preserve">is unnecessary and not sustainable. </w:t>
      </w:r>
      <w:r w:rsidR="009D5915">
        <w:rPr>
          <w:rFonts w:ascii="Arial" w:hAnsi="Arial" w:cs="Arial"/>
          <w:sz w:val="24"/>
          <w:szCs w:val="24"/>
        </w:rPr>
        <w:t>The Parish Council seeks the removal of this allocation from Local Plan Part 2.</w:t>
      </w:r>
    </w:p>
    <w:p w14:paraId="79F8D909" w14:textId="77777777" w:rsidR="00824302" w:rsidRDefault="00824302" w:rsidP="00824302">
      <w:pPr>
        <w:pStyle w:val="ListParagraph"/>
        <w:spacing w:line="360" w:lineRule="auto"/>
        <w:rPr>
          <w:rFonts w:ascii="Arial" w:hAnsi="Arial" w:cs="Arial"/>
          <w:sz w:val="24"/>
          <w:szCs w:val="24"/>
        </w:rPr>
      </w:pPr>
    </w:p>
    <w:p w14:paraId="5B22CC61" w14:textId="1443F210" w:rsidR="00824302" w:rsidRDefault="00824302" w:rsidP="00F920FC">
      <w:pPr>
        <w:pStyle w:val="ListParagraph"/>
        <w:numPr>
          <w:ilvl w:val="0"/>
          <w:numId w:val="5"/>
        </w:numPr>
        <w:spacing w:line="360" w:lineRule="auto"/>
        <w:rPr>
          <w:rFonts w:ascii="Arial" w:hAnsi="Arial" w:cs="Arial"/>
          <w:sz w:val="24"/>
          <w:szCs w:val="24"/>
        </w:rPr>
      </w:pPr>
      <w:r>
        <w:rPr>
          <w:rFonts w:ascii="Arial" w:hAnsi="Arial" w:cs="Arial"/>
          <w:sz w:val="24"/>
          <w:szCs w:val="24"/>
        </w:rPr>
        <w:t xml:space="preserve">If the Borough Council should disagree with </w:t>
      </w:r>
      <w:r w:rsidR="009D6605">
        <w:rPr>
          <w:rFonts w:ascii="Arial" w:hAnsi="Arial" w:cs="Arial"/>
          <w:sz w:val="24"/>
          <w:szCs w:val="24"/>
        </w:rPr>
        <w:t xml:space="preserve">this position </w:t>
      </w:r>
      <w:r>
        <w:rPr>
          <w:rFonts w:ascii="Arial" w:hAnsi="Arial" w:cs="Arial"/>
          <w:sz w:val="24"/>
          <w:szCs w:val="24"/>
        </w:rPr>
        <w:t>and proceed with the allocation, the Parish Council will seek the following changes to Local Plan Part 2:</w:t>
      </w:r>
    </w:p>
    <w:p w14:paraId="563293EE" w14:textId="6D61E60D" w:rsidR="00824302" w:rsidRDefault="00824302" w:rsidP="00824302">
      <w:pPr>
        <w:pStyle w:val="ListParagraph"/>
        <w:spacing w:line="360" w:lineRule="auto"/>
        <w:rPr>
          <w:rFonts w:ascii="Arial" w:hAnsi="Arial" w:cs="Arial"/>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037"/>
      </w:tblGrid>
      <w:tr w:rsidR="00476A49" w:rsidRPr="00476A49" w14:paraId="14844F9E" w14:textId="77777777">
        <w:trPr>
          <w:trHeight w:val="300"/>
        </w:trPr>
        <w:tc>
          <w:tcPr>
            <w:tcW w:w="9037" w:type="dxa"/>
          </w:tcPr>
          <w:p w14:paraId="16D74DC0" w14:textId="77777777" w:rsidR="00476A49" w:rsidRDefault="004638E9" w:rsidP="00476A49">
            <w:pPr>
              <w:pStyle w:val="ListParagraph"/>
              <w:numPr>
                <w:ilvl w:val="0"/>
                <w:numId w:val="8"/>
              </w:numPr>
              <w:spacing w:line="360" w:lineRule="auto"/>
              <w:rPr>
                <w:rFonts w:ascii="Arial" w:hAnsi="Arial" w:cs="Arial"/>
                <w:sz w:val="24"/>
                <w:szCs w:val="24"/>
              </w:rPr>
            </w:pPr>
            <w:r>
              <w:rPr>
                <w:rFonts w:ascii="Arial" w:hAnsi="Arial" w:cs="Arial"/>
                <w:sz w:val="24"/>
                <w:szCs w:val="24"/>
              </w:rPr>
              <w:t>Allocation</w:t>
            </w:r>
            <w:r w:rsidR="00C82E31">
              <w:rPr>
                <w:rFonts w:ascii="Arial" w:hAnsi="Arial" w:cs="Arial"/>
                <w:sz w:val="24"/>
                <w:szCs w:val="24"/>
              </w:rPr>
              <w:t xml:space="preserve"> of the area </w:t>
            </w:r>
            <w:r>
              <w:rPr>
                <w:rFonts w:ascii="Arial" w:hAnsi="Arial" w:cs="Arial"/>
                <w:sz w:val="24"/>
                <w:szCs w:val="24"/>
              </w:rPr>
              <w:t xml:space="preserve">shaded green in Figure 20 of Local Plan Part 2 as a </w:t>
            </w:r>
            <w:r w:rsidR="00476A49">
              <w:rPr>
                <w:rFonts w:ascii="Arial" w:hAnsi="Arial" w:cs="Arial"/>
                <w:sz w:val="24"/>
                <w:szCs w:val="24"/>
              </w:rPr>
              <w:t>green wedge</w:t>
            </w:r>
            <w:r>
              <w:rPr>
                <w:rFonts w:ascii="Arial" w:hAnsi="Arial" w:cs="Arial"/>
                <w:sz w:val="24"/>
                <w:szCs w:val="24"/>
              </w:rPr>
              <w:t>. This will ensure continued separation</w:t>
            </w:r>
            <w:r w:rsidR="00476A49">
              <w:rPr>
                <w:rFonts w:ascii="Arial" w:hAnsi="Arial" w:cs="Arial"/>
                <w:sz w:val="24"/>
                <w:szCs w:val="24"/>
              </w:rPr>
              <w:t xml:space="preserve"> of the proposed new development from Great Houghton village.</w:t>
            </w:r>
          </w:p>
          <w:p w14:paraId="2F79E057" w14:textId="2FA98EC8" w:rsidR="00476A49" w:rsidRPr="00476A49" w:rsidRDefault="003B30C5" w:rsidP="00476A49">
            <w:pPr>
              <w:pStyle w:val="ListParagraph"/>
              <w:numPr>
                <w:ilvl w:val="0"/>
                <w:numId w:val="8"/>
              </w:numPr>
              <w:spacing w:line="360" w:lineRule="auto"/>
              <w:rPr>
                <w:rFonts w:ascii="Arial" w:hAnsi="Arial" w:cs="Arial"/>
                <w:sz w:val="24"/>
                <w:szCs w:val="24"/>
              </w:rPr>
            </w:pPr>
            <w:r>
              <w:rPr>
                <w:rFonts w:ascii="Arial" w:hAnsi="Arial" w:cs="Arial"/>
                <w:sz w:val="24"/>
                <w:szCs w:val="24"/>
              </w:rPr>
              <w:t>Quantification of the traffic impact on The High Street, Great Houghton and identification of specific mitigation measures to avoid or mitigate these impacts.</w:t>
            </w:r>
          </w:p>
          <w:p w14:paraId="285D0B39" w14:textId="7ED4D321" w:rsidR="00476A49" w:rsidRPr="00476A49" w:rsidRDefault="00476A49" w:rsidP="00BB0F0B">
            <w:pPr>
              <w:pStyle w:val="ListParagraph"/>
              <w:numPr>
                <w:ilvl w:val="0"/>
                <w:numId w:val="8"/>
              </w:numPr>
              <w:spacing w:line="360" w:lineRule="auto"/>
              <w:rPr>
                <w:rFonts w:ascii="Arial" w:hAnsi="Arial" w:cs="Arial"/>
                <w:sz w:val="24"/>
                <w:szCs w:val="24"/>
              </w:rPr>
            </w:pPr>
            <w:r w:rsidRPr="00476A49">
              <w:rPr>
                <w:rFonts w:ascii="Arial" w:hAnsi="Arial" w:cs="Arial"/>
                <w:sz w:val="24"/>
                <w:szCs w:val="24"/>
              </w:rPr>
              <w:t xml:space="preserve">Surveys </w:t>
            </w:r>
            <w:r w:rsidR="00466A4E">
              <w:rPr>
                <w:rFonts w:ascii="Arial" w:hAnsi="Arial" w:cs="Arial"/>
                <w:sz w:val="24"/>
                <w:szCs w:val="24"/>
              </w:rPr>
              <w:t xml:space="preserve">should be </w:t>
            </w:r>
            <w:r w:rsidRPr="00476A49">
              <w:rPr>
                <w:rFonts w:ascii="Arial" w:hAnsi="Arial" w:cs="Arial"/>
                <w:sz w:val="24"/>
                <w:szCs w:val="24"/>
              </w:rPr>
              <w:t xml:space="preserve">undertaken </w:t>
            </w:r>
            <w:r w:rsidR="00466A4E">
              <w:rPr>
                <w:rFonts w:ascii="Arial" w:hAnsi="Arial" w:cs="Arial"/>
                <w:sz w:val="24"/>
                <w:szCs w:val="24"/>
              </w:rPr>
              <w:t xml:space="preserve">before the land is allocated </w:t>
            </w:r>
            <w:r w:rsidRPr="00476A49">
              <w:rPr>
                <w:rFonts w:ascii="Arial" w:hAnsi="Arial" w:cs="Arial"/>
                <w:sz w:val="24"/>
                <w:szCs w:val="24"/>
              </w:rPr>
              <w:t xml:space="preserve">to identify whether the site is used by over-wintering Golden Plover / Lapwing i.e. to be carried out in the winter. If significant </w:t>
            </w:r>
            <w:r w:rsidR="00466A4E" w:rsidRPr="00466A4E">
              <w:rPr>
                <w:rFonts w:ascii="Arial" w:hAnsi="Arial" w:cs="Arial"/>
                <w:sz w:val="24"/>
                <w:szCs w:val="24"/>
              </w:rPr>
              <w:t xml:space="preserve">numbers of Golden Plover or Lapwing are identified at the site, offsite mitigation required for the loss of habitat </w:t>
            </w:r>
            <w:r w:rsidR="00466A4E">
              <w:rPr>
                <w:rFonts w:ascii="Arial" w:hAnsi="Arial" w:cs="Arial"/>
                <w:sz w:val="24"/>
                <w:szCs w:val="24"/>
              </w:rPr>
              <w:t>should be identified as part of the allocation.</w:t>
            </w:r>
          </w:p>
        </w:tc>
      </w:tr>
    </w:tbl>
    <w:p w14:paraId="6AB7EF0E" w14:textId="77777777" w:rsidR="005F3E22" w:rsidRDefault="005F3E22" w:rsidP="00824302">
      <w:pPr>
        <w:pStyle w:val="ListParagraph"/>
        <w:spacing w:line="360" w:lineRule="auto"/>
        <w:rPr>
          <w:rFonts w:ascii="Arial" w:hAnsi="Arial" w:cs="Arial"/>
          <w:sz w:val="24"/>
          <w:szCs w:val="24"/>
        </w:rPr>
      </w:pPr>
    </w:p>
    <w:p w14:paraId="1458825C" w14:textId="77777777" w:rsidR="005F3E22" w:rsidRDefault="005F3E22">
      <w:pPr>
        <w:rPr>
          <w:rFonts w:ascii="Arial" w:hAnsi="Arial" w:cs="Arial"/>
          <w:sz w:val="24"/>
          <w:szCs w:val="24"/>
        </w:rPr>
      </w:pPr>
      <w:r>
        <w:rPr>
          <w:rFonts w:ascii="Arial" w:hAnsi="Arial" w:cs="Arial"/>
          <w:sz w:val="24"/>
          <w:szCs w:val="24"/>
        </w:rPr>
        <w:br w:type="page"/>
      </w:r>
    </w:p>
    <w:p w14:paraId="329CFC7E" w14:textId="77777777" w:rsidR="005F3E22" w:rsidRDefault="005F3E22">
      <w:pPr>
        <w:rPr>
          <w:rFonts w:ascii="Arial" w:hAnsi="Arial" w:cs="Arial"/>
          <w:sz w:val="24"/>
          <w:szCs w:val="24"/>
        </w:rPr>
      </w:pPr>
      <w:r>
        <w:rPr>
          <w:rFonts w:ascii="Arial" w:hAnsi="Arial" w:cs="Arial"/>
          <w:sz w:val="24"/>
          <w:szCs w:val="24"/>
        </w:rPr>
        <w:br w:type="page"/>
      </w:r>
    </w:p>
    <w:p w14:paraId="0D6C35E1" w14:textId="228DBD1E" w:rsidR="00824302" w:rsidRPr="0036105B" w:rsidRDefault="005F3E22" w:rsidP="00824302">
      <w:pPr>
        <w:pStyle w:val="ListParagraph"/>
        <w:spacing w:line="360" w:lineRule="auto"/>
        <w:rPr>
          <w:rFonts w:ascii="Arial" w:hAnsi="Arial" w:cs="Arial"/>
          <w:sz w:val="24"/>
          <w:szCs w:val="24"/>
        </w:rPr>
      </w:pPr>
      <w:r>
        <w:rPr>
          <w:rFonts w:ascii="Arial" w:hAnsi="Arial" w:cs="Arial"/>
          <w:noProof/>
          <w:sz w:val="24"/>
          <w:szCs w:val="24"/>
          <w:lang w:eastAsia="en-GB"/>
        </w:rPr>
        <w:drawing>
          <wp:anchor distT="0" distB="0" distL="114300" distR="114300" simplePos="0" relativeHeight="251659264" behindDoc="0" locked="0" layoutInCell="1" allowOverlap="1" wp14:anchorId="1E43F86D" wp14:editId="10DDA349">
            <wp:simplePos x="0" y="0"/>
            <wp:positionH relativeFrom="page">
              <wp:align>left</wp:align>
            </wp:positionH>
            <wp:positionV relativeFrom="paragraph">
              <wp:posOffset>-904875</wp:posOffset>
            </wp:positionV>
            <wp:extent cx="7553325" cy="10683946"/>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7553325" cy="10683946"/>
                    </a:xfrm>
                    <a:prstGeom prst="rect">
                      <a:avLst/>
                    </a:prstGeom>
                  </pic:spPr>
                </pic:pic>
              </a:graphicData>
            </a:graphic>
            <wp14:sizeRelH relativeFrom="margin">
              <wp14:pctWidth>0</wp14:pctWidth>
            </wp14:sizeRelH>
            <wp14:sizeRelV relativeFrom="margin">
              <wp14:pctHeight>0</wp14:pctHeight>
            </wp14:sizeRelV>
          </wp:anchor>
        </w:drawing>
      </w:r>
    </w:p>
    <w:sectPr w:rsidR="00824302" w:rsidRPr="0036105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8E7D9" w14:textId="77777777" w:rsidR="00736A63" w:rsidRDefault="00736A63" w:rsidP="001A747A">
      <w:pPr>
        <w:spacing w:after="0" w:line="240" w:lineRule="auto"/>
      </w:pPr>
      <w:r>
        <w:separator/>
      </w:r>
    </w:p>
  </w:endnote>
  <w:endnote w:type="continuationSeparator" w:id="0">
    <w:p w14:paraId="1C0BB9AB" w14:textId="77777777" w:rsidR="00736A63" w:rsidRDefault="00736A63" w:rsidP="001A7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7670591"/>
      <w:docPartObj>
        <w:docPartGallery w:val="Page Numbers (Bottom of Page)"/>
        <w:docPartUnique/>
      </w:docPartObj>
    </w:sdtPr>
    <w:sdtEndPr/>
    <w:sdtContent>
      <w:sdt>
        <w:sdtPr>
          <w:id w:val="1728636285"/>
          <w:docPartObj>
            <w:docPartGallery w:val="Page Numbers (Top of Page)"/>
            <w:docPartUnique/>
          </w:docPartObj>
        </w:sdtPr>
        <w:sdtEndPr/>
        <w:sdtContent>
          <w:p w14:paraId="17A53262" w14:textId="5B24B4FC" w:rsidR="00FA51BD" w:rsidRDefault="00FA51B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440C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440CE">
              <w:rPr>
                <w:b/>
                <w:bCs/>
                <w:noProof/>
              </w:rPr>
              <w:t>6</w:t>
            </w:r>
            <w:r>
              <w:rPr>
                <w:b/>
                <w:bCs/>
                <w:sz w:val="24"/>
                <w:szCs w:val="24"/>
              </w:rPr>
              <w:fldChar w:fldCharType="end"/>
            </w:r>
          </w:p>
        </w:sdtContent>
      </w:sdt>
    </w:sdtContent>
  </w:sdt>
  <w:p w14:paraId="62865B4C" w14:textId="77777777" w:rsidR="001A747A" w:rsidRDefault="001A74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3B5E5" w14:textId="77777777" w:rsidR="00736A63" w:rsidRDefault="00736A63" w:rsidP="001A747A">
      <w:pPr>
        <w:spacing w:after="0" w:line="240" w:lineRule="auto"/>
      </w:pPr>
      <w:r>
        <w:separator/>
      </w:r>
    </w:p>
  </w:footnote>
  <w:footnote w:type="continuationSeparator" w:id="0">
    <w:p w14:paraId="6A4D1DBF" w14:textId="77777777" w:rsidR="00736A63" w:rsidRDefault="00736A63" w:rsidP="001A74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C9318" w14:textId="7D376C61" w:rsidR="001A747A" w:rsidRDefault="00866BBA" w:rsidP="00866BBA">
    <w:pPr>
      <w:pStyle w:val="Header"/>
      <w:jc w:val="center"/>
    </w:pPr>
    <w:r>
      <w:t>Northampton Local Plan Part 2, Round 2, Objection on behalf of Great Houghton Parish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118A0"/>
    <w:multiLevelType w:val="hybridMultilevel"/>
    <w:tmpl w:val="B1C8C5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236249"/>
    <w:multiLevelType w:val="hybridMultilevel"/>
    <w:tmpl w:val="24E27046"/>
    <w:lvl w:ilvl="0" w:tplc="47B8DCB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2F90EE4"/>
    <w:multiLevelType w:val="hybridMultilevel"/>
    <w:tmpl w:val="584E0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08E25B6"/>
    <w:multiLevelType w:val="hybridMultilevel"/>
    <w:tmpl w:val="D480C018"/>
    <w:lvl w:ilvl="0" w:tplc="18BE8530">
      <w:start w:val="1"/>
      <w:numFmt w:val="lowerLetter"/>
      <w:lvlText w:val="%1)"/>
      <w:lvlJc w:val="left"/>
      <w:pPr>
        <w:ind w:left="1440" w:hanging="360"/>
      </w:pPr>
      <w:rPr>
        <w:rFonts w:ascii="Arial" w:hAnsi="Arial" w:hint="default"/>
        <w:b w:val="0"/>
        <w:i w:val="0"/>
        <w:color w:val="auto"/>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54B16458"/>
    <w:multiLevelType w:val="hybridMultilevel"/>
    <w:tmpl w:val="F4121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B723396"/>
    <w:multiLevelType w:val="hybridMultilevel"/>
    <w:tmpl w:val="FA66AA66"/>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B8A6984"/>
    <w:multiLevelType w:val="hybridMultilevel"/>
    <w:tmpl w:val="5E9E656E"/>
    <w:lvl w:ilvl="0" w:tplc="18BE8530">
      <w:start w:val="1"/>
      <w:numFmt w:val="lowerLetter"/>
      <w:lvlText w:val="%1)"/>
      <w:lvlJc w:val="left"/>
      <w:pPr>
        <w:ind w:left="1440" w:hanging="360"/>
      </w:pPr>
      <w:rPr>
        <w:rFonts w:ascii="Arial" w:hAnsi="Arial" w:hint="default"/>
        <w:b w:val="0"/>
        <w:i w:val="0"/>
        <w:color w:val="auto"/>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7C453390"/>
    <w:multiLevelType w:val="hybridMultilevel"/>
    <w:tmpl w:val="543C1066"/>
    <w:lvl w:ilvl="0" w:tplc="981CF58C">
      <w:start w:val="1"/>
      <w:numFmt w:val="decimal"/>
      <w:lvlText w:val="%1."/>
      <w:lvlJc w:val="left"/>
      <w:pPr>
        <w:ind w:left="720" w:hanging="360"/>
      </w:pPr>
      <w:rPr>
        <w:rFonts w:hint="default"/>
        <w:b w:val="0"/>
        <w:sz w:val="22"/>
      </w:rPr>
    </w:lvl>
    <w:lvl w:ilvl="1" w:tplc="08090019">
      <w:start w:val="1"/>
      <w:numFmt w:val="lowerLetter"/>
      <w:lvlText w:val="%2."/>
      <w:lvlJc w:val="left"/>
      <w:pPr>
        <w:ind w:left="1440" w:hanging="360"/>
      </w:pPr>
    </w:lvl>
    <w:lvl w:ilvl="2" w:tplc="BE02FA94">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7"/>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D42"/>
    <w:rsid w:val="000323A6"/>
    <w:rsid w:val="0008070C"/>
    <w:rsid w:val="000948EB"/>
    <w:rsid w:val="000B54CA"/>
    <w:rsid w:val="000C4631"/>
    <w:rsid w:val="000D492A"/>
    <w:rsid w:val="000D5F9A"/>
    <w:rsid w:val="000D67A9"/>
    <w:rsid w:val="000D7245"/>
    <w:rsid w:val="001011B8"/>
    <w:rsid w:val="00121BF5"/>
    <w:rsid w:val="001233DD"/>
    <w:rsid w:val="00124AB3"/>
    <w:rsid w:val="001353AE"/>
    <w:rsid w:val="00141636"/>
    <w:rsid w:val="001461F7"/>
    <w:rsid w:val="00162404"/>
    <w:rsid w:val="001650DA"/>
    <w:rsid w:val="001739DF"/>
    <w:rsid w:val="00186071"/>
    <w:rsid w:val="00186E09"/>
    <w:rsid w:val="00197776"/>
    <w:rsid w:val="001A472C"/>
    <w:rsid w:val="001A5C14"/>
    <w:rsid w:val="001A747A"/>
    <w:rsid w:val="001B16B9"/>
    <w:rsid w:val="001C0DB9"/>
    <w:rsid w:val="001C0E33"/>
    <w:rsid w:val="001C4834"/>
    <w:rsid w:val="001C6672"/>
    <w:rsid w:val="00201835"/>
    <w:rsid w:val="002263DE"/>
    <w:rsid w:val="00232EE3"/>
    <w:rsid w:val="00240767"/>
    <w:rsid w:val="0024316D"/>
    <w:rsid w:val="00252943"/>
    <w:rsid w:val="002620B9"/>
    <w:rsid w:val="0027185E"/>
    <w:rsid w:val="00277296"/>
    <w:rsid w:val="002A1979"/>
    <w:rsid w:val="002A1F9B"/>
    <w:rsid w:val="002A3D3D"/>
    <w:rsid w:val="002A446B"/>
    <w:rsid w:val="002A6D80"/>
    <w:rsid w:val="002C2251"/>
    <w:rsid w:val="002D75A9"/>
    <w:rsid w:val="002F5882"/>
    <w:rsid w:val="00326C1D"/>
    <w:rsid w:val="00342B56"/>
    <w:rsid w:val="0035296A"/>
    <w:rsid w:val="0036105B"/>
    <w:rsid w:val="00387A6F"/>
    <w:rsid w:val="003A1CAE"/>
    <w:rsid w:val="003A5020"/>
    <w:rsid w:val="003A7943"/>
    <w:rsid w:val="003B2C9D"/>
    <w:rsid w:val="003B30C5"/>
    <w:rsid w:val="003D5198"/>
    <w:rsid w:val="003F7562"/>
    <w:rsid w:val="0043221F"/>
    <w:rsid w:val="00444054"/>
    <w:rsid w:val="004638E9"/>
    <w:rsid w:val="0046496C"/>
    <w:rsid w:val="00466A4E"/>
    <w:rsid w:val="004737D8"/>
    <w:rsid w:val="004737F0"/>
    <w:rsid w:val="00476A49"/>
    <w:rsid w:val="00484BBB"/>
    <w:rsid w:val="00495F61"/>
    <w:rsid w:val="00496102"/>
    <w:rsid w:val="00497268"/>
    <w:rsid w:val="004A78C2"/>
    <w:rsid w:val="004C74F6"/>
    <w:rsid w:val="004E1539"/>
    <w:rsid w:val="004E6B78"/>
    <w:rsid w:val="00501F37"/>
    <w:rsid w:val="00505361"/>
    <w:rsid w:val="005249A3"/>
    <w:rsid w:val="00550B11"/>
    <w:rsid w:val="00563FEA"/>
    <w:rsid w:val="00564F50"/>
    <w:rsid w:val="00573AA0"/>
    <w:rsid w:val="005B5C48"/>
    <w:rsid w:val="005F3E22"/>
    <w:rsid w:val="006007AE"/>
    <w:rsid w:val="00613A02"/>
    <w:rsid w:val="00632A5E"/>
    <w:rsid w:val="0064046D"/>
    <w:rsid w:val="006440CE"/>
    <w:rsid w:val="00655A08"/>
    <w:rsid w:val="00661A5C"/>
    <w:rsid w:val="006740BA"/>
    <w:rsid w:val="006A1976"/>
    <w:rsid w:val="006B00D5"/>
    <w:rsid w:val="007012FD"/>
    <w:rsid w:val="00706E74"/>
    <w:rsid w:val="00715FA9"/>
    <w:rsid w:val="0071649B"/>
    <w:rsid w:val="00731C01"/>
    <w:rsid w:val="00736A63"/>
    <w:rsid w:val="007403AF"/>
    <w:rsid w:val="0075262E"/>
    <w:rsid w:val="00776B98"/>
    <w:rsid w:val="0079113E"/>
    <w:rsid w:val="007A0BC0"/>
    <w:rsid w:val="007B48DA"/>
    <w:rsid w:val="007B5860"/>
    <w:rsid w:val="007C2AF7"/>
    <w:rsid w:val="007D4E66"/>
    <w:rsid w:val="007E140F"/>
    <w:rsid w:val="007E5447"/>
    <w:rsid w:val="00800924"/>
    <w:rsid w:val="00810C1E"/>
    <w:rsid w:val="00817C60"/>
    <w:rsid w:val="00824302"/>
    <w:rsid w:val="008271D4"/>
    <w:rsid w:val="008427B6"/>
    <w:rsid w:val="008468F7"/>
    <w:rsid w:val="00866BBA"/>
    <w:rsid w:val="00882E81"/>
    <w:rsid w:val="008D22D2"/>
    <w:rsid w:val="008E12AD"/>
    <w:rsid w:val="00900516"/>
    <w:rsid w:val="0090184C"/>
    <w:rsid w:val="00930177"/>
    <w:rsid w:val="0093536C"/>
    <w:rsid w:val="00963E76"/>
    <w:rsid w:val="009670F6"/>
    <w:rsid w:val="009840A5"/>
    <w:rsid w:val="00986542"/>
    <w:rsid w:val="00990AF2"/>
    <w:rsid w:val="009968C2"/>
    <w:rsid w:val="009A121F"/>
    <w:rsid w:val="009B37EE"/>
    <w:rsid w:val="009C1082"/>
    <w:rsid w:val="009C6231"/>
    <w:rsid w:val="009D5915"/>
    <w:rsid w:val="009D6605"/>
    <w:rsid w:val="009F51EE"/>
    <w:rsid w:val="00A013EA"/>
    <w:rsid w:val="00A17C39"/>
    <w:rsid w:val="00A248EB"/>
    <w:rsid w:val="00A36821"/>
    <w:rsid w:val="00A50B64"/>
    <w:rsid w:val="00A53316"/>
    <w:rsid w:val="00A826CD"/>
    <w:rsid w:val="00A828C1"/>
    <w:rsid w:val="00A87ADB"/>
    <w:rsid w:val="00A95BF6"/>
    <w:rsid w:val="00AB2D34"/>
    <w:rsid w:val="00AF11F5"/>
    <w:rsid w:val="00B10A01"/>
    <w:rsid w:val="00B20F97"/>
    <w:rsid w:val="00B33F0F"/>
    <w:rsid w:val="00B406B6"/>
    <w:rsid w:val="00B43CDE"/>
    <w:rsid w:val="00B74403"/>
    <w:rsid w:val="00B76B52"/>
    <w:rsid w:val="00B80F8C"/>
    <w:rsid w:val="00B846BA"/>
    <w:rsid w:val="00B953B1"/>
    <w:rsid w:val="00BA309E"/>
    <w:rsid w:val="00BB0F0B"/>
    <w:rsid w:val="00BE038B"/>
    <w:rsid w:val="00BE5686"/>
    <w:rsid w:val="00BF2C1B"/>
    <w:rsid w:val="00C00B63"/>
    <w:rsid w:val="00C03E7D"/>
    <w:rsid w:val="00C138F4"/>
    <w:rsid w:val="00C15F10"/>
    <w:rsid w:val="00C50230"/>
    <w:rsid w:val="00C6554E"/>
    <w:rsid w:val="00C82E31"/>
    <w:rsid w:val="00CA4F22"/>
    <w:rsid w:val="00CB2FA2"/>
    <w:rsid w:val="00CE7B3D"/>
    <w:rsid w:val="00D0040F"/>
    <w:rsid w:val="00D01CE1"/>
    <w:rsid w:val="00D16662"/>
    <w:rsid w:val="00D24635"/>
    <w:rsid w:val="00D26918"/>
    <w:rsid w:val="00D315C9"/>
    <w:rsid w:val="00D61454"/>
    <w:rsid w:val="00D653C8"/>
    <w:rsid w:val="00D90604"/>
    <w:rsid w:val="00DA4DA1"/>
    <w:rsid w:val="00DB0A18"/>
    <w:rsid w:val="00DC45E1"/>
    <w:rsid w:val="00DC506A"/>
    <w:rsid w:val="00DC5F2F"/>
    <w:rsid w:val="00DE2E74"/>
    <w:rsid w:val="00DF6D19"/>
    <w:rsid w:val="00E23635"/>
    <w:rsid w:val="00E2692D"/>
    <w:rsid w:val="00E30744"/>
    <w:rsid w:val="00E501C5"/>
    <w:rsid w:val="00EA4E96"/>
    <w:rsid w:val="00EB3310"/>
    <w:rsid w:val="00EC575C"/>
    <w:rsid w:val="00ED6FDF"/>
    <w:rsid w:val="00EE386D"/>
    <w:rsid w:val="00EE6399"/>
    <w:rsid w:val="00F21144"/>
    <w:rsid w:val="00F7640E"/>
    <w:rsid w:val="00F83E6A"/>
    <w:rsid w:val="00F85312"/>
    <w:rsid w:val="00F920FC"/>
    <w:rsid w:val="00FA2C29"/>
    <w:rsid w:val="00FA51BD"/>
    <w:rsid w:val="00FB23E3"/>
    <w:rsid w:val="00FB469F"/>
    <w:rsid w:val="00FB4D42"/>
    <w:rsid w:val="00FB503C"/>
    <w:rsid w:val="00FC06C7"/>
    <w:rsid w:val="00FF1327"/>
    <w:rsid w:val="00FF6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E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D42"/>
    <w:pPr>
      <w:ind w:left="720"/>
      <w:contextualSpacing/>
    </w:pPr>
  </w:style>
  <w:style w:type="character" w:styleId="Hyperlink">
    <w:name w:val="Hyperlink"/>
    <w:basedOn w:val="DefaultParagraphFont"/>
    <w:uiPriority w:val="99"/>
    <w:unhideWhenUsed/>
    <w:rsid w:val="000D492A"/>
    <w:rPr>
      <w:color w:val="0563C1" w:themeColor="hyperlink"/>
      <w:u w:val="single"/>
    </w:rPr>
  </w:style>
  <w:style w:type="character" w:customStyle="1" w:styleId="UnresolvedMention">
    <w:name w:val="Unresolved Mention"/>
    <w:basedOn w:val="DefaultParagraphFont"/>
    <w:uiPriority w:val="99"/>
    <w:semiHidden/>
    <w:unhideWhenUsed/>
    <w:rsid w:val="000D492A"/>
    <w:rPr>
      <w:color w:val="605E5C"/>
      <w:shd w:val="clear" w:color="auto" w:fill="E1DFDD"/>
    </w:rPr>
  </w:style>
  <w:style w:type="paragraph" w:styleId="Header">
    <w:name w:val="header"/>
    <w:basedOn w:val="Normal"/>
    <w:link w:val="HeaderChar"/>
    <w:uiPriority w:val="99"/>
    <w:unhideWhenUsed/>
    <w:rsid w:val="001A74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47A"/>
  </w:style>
  <w:style w:type="paragraph" w:styleId="Footer">
    <w:name w:val="footer"/>
    <w:basedOn w:val="Normal"/>
    <w:link w:val="FooterChar"/>
    <w:uiPriority w:val="99"/>
    <w:unhideWhenUsed/>
    <w:rsid w:val="001A7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4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D42"/>
    <w:pPr>
      <w:ind w:left="720"/>
      <w:contextualSpacing/>
    </w:pPr>
  </w:style>
  <w:style w:type="character" w:styleId="Hyperlink">
    <w:name w:val="Hyperlink"/>
    <w:basedOn w:val="DefaultParagraphFont"/>
    <w:uiPriority w:val="99"/>
    <w:unhideWhenUsed/>
    <w:rsid w:val="000D492A"/>
    <w:rPr>
      <w:color w:val="0563C1" w:themeColor="hyperlink"/>
      <w:u w:val="single"/>
    </w:rPr>
  </w:style>
  <w:style w:type="character" w:customStyle="1" w:styleId="UnresolvedMention">
    <w:name w:val="Unresolved Mention"/>
    <w:basedOn w:val="DefaultParagraphFont"/>
    <w:uiPriority w:val="99"/>
    <w:semiHidden/>
    <w:unhideWhenUsed/>
    <w:rsid w:val="000D492A"/>
    <w:rPr>
      <w:color w:val="605E5C"/>
      <w:shd w:val="clear" w:color="auto" w:fill="E1DFDD"/>
    </w:rPr>
  </w:style>
  <w:style w:type="paragraph" w:styleId="Header">
    <w:name w:val="header"/>
    <w:basedOn w:val="Normal"/>
    <w:link w:val="HeaderChar"/>
    <w:uiPriority w:val="99"/>
    <w:unhideWhenUsed/>
    <w:rsid w:val="001A74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47A"/>
  </w:style>
  <w:style w:type="paragraph" w:styleId="Footer">
    <w:name w:val="footer"/>
    <w:basedOn w:val="Normal"/>
    <w:link w:val="FooterChar"/>
    <w:uiPriority w:val="99"/>
    <w:unhideWhenUsed/>
    <w:rsid w:val="001A7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orthampton.gov.uk/info/200207/building_conservation_and_trees/1629/great_houghton_conservation_are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rthampton.gov.uk/downloads/file/12108/04-5yhls-nbc-2019" TargetMode="External"/><Relationship Id="rId4" Type="http://schemas.openxmlformats.org/officeDocument/2006/relationships/settings" Target="settings.xml"/><Relationship Id="rId9" Type="http://schemas.openxmlformats.org/officeDocument/2006/relationships/hyperlink" Target="https://www.northampton.gov.uk/downloads/file/12104/01-housing-technical-pap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3617</Words>
  <Characters>20621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Williams</dc:creator>
  <cp:lastModifiedBy>Great Houghton</cp:lastModifiedBy>
  <cp:revision>2</cp:revision>
  <dcterms:created xsi:type="dcterms:W3CDTF">2020-09-04T11:03:00Z</dcterms:created>
  <dcterms:modified xsi:type="dcterms:W3CDTF">2020-09-04T11:03:00Z</dcterms:modified>
</cp:coreProperties>
</file>