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053BD43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410C3C6E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Cllr </w:t>
      </w:r>
      <w:r w:rsidR="0000126D">
        <w:rPr>
          <w:rFonts w:ascii="Calibri" w:hAnsi="Calibri"/>
          <w:sz w:val="24"/>
          <w:szCs w:val="24"/>
        </w:rPr>
        <w:t>Sarah Williams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7C7C63B4" w14:textId="2872F2FD" w:rsidR="00BD7DCD" w:rsidRDefault="00BD7DCD" w:rsidP="005848DA">
      <w:pPr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085387">
        <w:rPr>
          <w:rFonts w:ascii="Calibri" w:hAnsi="Calibri"/>
          <w:b/>
          <w:bCs/>
        </w:rPr>
        <w:t xml:space="preserve">Council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4455C4">
        <w:rPr>
          <w:rFonts w:ascii="Calibri" w:hAnsi="Calibri"/>
          <w:b/>
          <w:bCs/>
        </w:rPr>
        <w:t xml:space="preserve">on </w:t>
      </w:r>
      <w:r w:rsidR="007C2B1C">
        <w:rPr>
          <w:rFonts w:ascii="Calibri" w:hAnsi="Calibri"/>
          <w:b/>
          <w:bCs/>
        </w:rPr>
        <w:t xml:space="preserve">Tuesday </w:t>
      </w:r>
      <w:r w:rsidR="0009166A">
        <w:rPr>
          <w:rFonts w:ascii="Calibri" w:hAnsi="Calibri"/>
          <w:b/>
          <w:bCs/>
        </w:rPr>
        <w:t>19 March</w:t>
      </w:r>
      <w:r w:rsidR="00B62AD2">
        <w:rPr>
          <w:rFonts w:ascii="Calibri" w:hAnsi="Calibri"/>
          <w:b/>
          <w:bCs/>
        </w:rPr>
        <w:t xml:space="preserve"> 2024</w:t>
      </w:r>
      <w:r w:rsidR="00506B30">
        <w:rPr>
          <w:rFonts w:ascii="Calibri" w:hAnsi="Calibri"/>
          <w:b/>
          <w:bCs/>
        </w:rPr>
        <w:t xml:space="preserve"> at the Village Hall, Leys Lane</w:t>
      </w:r>
      <w:r>
        <w:rPr>
          <w:rFonts w:ascii="Calibri" w:hAnsi="Calibri"/>
          <w:b/>
          <w:bCs/>
        </w:rPr>
        <w:t xml:space="preserve"> commencing at 7.</w:t>
      </w:r>
      <w:r w:rsidR="006125D3">
        <w:rPr>
          <w:rFonts w:ascii="Calibri" w:hAnsi="Calibri"/>
          <w:b/>
          <w:bCs/>
        </w:rPr>
        <w:t>30</w:t>
      </w:r>
      <w:r>
        <w:rPr>
          <w:rFonts w:ascii="Calibri" w:hAnsi="Calibri"/>
          <w:b/>
          <w:bCs/>
        </w:rPr>
        <w:t>pm.</w:t>
      </w:r>
    </w:p>
    <w:p w14:paraId="2BC364E4" w14:textId="77777777" w:rsidR="0000126D" w:rsidRDefault="0000126D" w:rsidP="005848DA">
      <w:pPr>
        <w:jc w:val="both"/>
        <w:rPr>
          <w:rFonts w:ascii="Calibri" w:hAnsi="Calibri"/>
          <w:b/>
          <w:bCs/>
        </w:rPr>
      </w:pPr>
    </w:p>
    <w:p w14:paraId="1F8582A7" w14:textId="7512B6C8" w:rsidR="00811E3D" w:rsidRDefault="00BD7DCD" w:rsidP="00D334B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  <w:r w:rsidR="00CA3ED9">
        <w:rPr>
          <w:rFonts w:ascii="Calibri" w:hAnsi="Calibri"/>
          <w:b/>
          <w:bCs/>
        </w:rPr>
        <w:t>.</w:t>
      </w:r>
    </w:p>
    <w:p w14:paraId="5C7897FB" w14:textId="77777777" w:rsidR="00D334B1" w:rsidRPr="005A0C06" w:rsidRDefault="00D334B1" w:rsidP="00D334B1">
      <w:pPr>
        <w:jc w:val="center"/>
        <w:rPr>
          <w:rFonts w:ascii="Calibri" w:hAnsi="Calibri"/>
          <w:b/>
          <w:bCs/>
        </w:rPr>
      </w:pPr>
    </w:p>
    <w:p w14:paraId="0E371646" w14:textId="04733013" w:rsidR="00BD7DCD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4901" w14:textId="719C21D7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Dated </w:t>
      </w:r>
      <w:r w:rsidR="00E21E5D">
        <w:rPr>
          <w:rFonts w:ascii="Calibri" w:hAnsi="Calibri"/>
          <w:bCs/>
        </w:rPr>
        <w:t xml:space="preserve">Thursday </w:t>
      </w:r>
      <w:r w:rsidR="0009166A">
        <w:rPr>
          <w:rFonts w:ascii="Calibri" w:hAnsi="Calibri"/>
          <w:bCs/>
        </w:rPr>
        <w:t>14 March</w:t>
      </w:r>
      <w:r w:rsidR="00B62AD2">
        <w:rPr>
          <w:rFonts w:ascii="Calibri" w:hAnsi="Calibri"/>
          <w:bCs/>
        </w:rPr>
        <w:t xml:space="preserve"> 2024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852C1B">
        <w:tc>
          <w:tcPr>
            <w:tcW w:w="8506" w:type="dxa"/>
          </w:tcPr>
          <w:p w14:paraId="6E81681B" w14:textId="26CF26F5" w:rsidR="0047426E" w:rsidRDefault="002D7622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  <w:r w:rsidR="0009166A">
              <w:rPr>
                <w:rFonts w:ascii="Calibri" w:hAnsi="Calibri"/>
                <w:b/>
                <w:bCs/>
              </w:rPr>
              <w:t>46</w:t>
            </w:r>
            <w:r w:rsidR="00B62AD2">
              <w:rPr>
                <w:rFonts w:ascii="Calibri" w:hAnsi="Calibri"/>
                <w:b/>
                <w:bCs/>
              </w:rPr>
              <w:t>/24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2A2C9760" w:rsidR="00972374" w:rsidRDefault="00972374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approve the minutes of the </w:t>
            </w:r>
            <w:r w:rsidR="007F62AA">
              <w:rPr>
                <w:rFonts w:ascii="Calibri" w:hAnsi="Calibri"/>
              </w:rPr>
              <w:t>Ordinary</w:t>
            </w:r>
            <w:r w:rsidR="00453E74">
              <w:rPr>
                <w:rFonts w:ascii="Calibri" w:hAnsi="Calibri"/>
              </w:rPr>
              <w:t xml:space="preserve"> Parish </w:t>
            </w:r>
            <w:r>
              <w:rPr>
                <w:rFonts w:ascii="Calibri" w:hAnsi="Calibri"/>
              </w:rPr>
              <w:t>Council Meeting held on Tuesday</w:t>
            </w:r>
            <w:r w:rsidR="008D608F">
              <w:rPr>
                <w:rFonts w:ascii="Calibri" w:hAnsi="Calibri"/>
              </w:rPr>
              <w:t xml:space="preserve"> </w:t>
            </w:r>
            <w:r w:rsidR="0009166A">
              <w:rPr>
                <w:rFonts w:ascii="Calibri" w:hAnsi="Calibri"/>
              </w:rPr>
              <w:t xml:space="preserve">20 February </w:t>
            </w:r>
            <w:r w:rsidR="007211CE">
              <w:rPr>
                <w:rFonts w:ascii="Calibri" w:hAnsi="Calibri"/>
              </w:rPr>
              <w:t>202</w:t>
            </w:r>
            <w:r w:rsidR="003D1004">
              <w:rPr>
                <w:rFonts w:ascii="Calibri" w:hAnsi="Calibri"/>
              </w:rPr>
              <w:t>4</w:t>
            </w:r>
          </w:p>
          <w:p w14:paraId="31D7CCF0" w14:textId="01854C9C" w:rsidR="00811E3D" w:rsidRPr="003375B1" w:rsidRDefault="00972374" w:rsidP="003375B1">
            <w:pPr>
              <w:pStyle w:val="ListParagraph"/>
              <w:numPr>
                <w:ilvl w:val="0"/>
                <w:numId w:val="3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declaration of interests related to the business on the </w:t>
            </w:r>
            <w:r w:rsidR="00656695">
              <w:rPr>
                <w:rFonts w:ascii="Calibri" w:hAnsi="Calibri"/>
              </w:rPr>
              <w:t>agenda.</w:t>
            </w: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852C1B">
        <w:tc>
          <w:tcPr>
            <w:tcW w:w="9498" w:type="dxa"/>
            <w:gridSpan w:val="2"/>
          </w:tcPr>
          <w:p w14:paraId="1739DD9F" w14:textId="26090660" w:rsidR="00E308FC" w:rsidRDefault="00E308FC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are reminded that the disclosure of a Disclosable Pecuniary interest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1ED38826" w14:textId="77777777" w:rsidTr="00852C1B">
        <w:tc>
          <w:tcPr>
            <w:tcW w:w="8506" w:type="dxa"/>
          </w:tcPr>
          <w:p w14:paraId="3AD40ACC" w14:textId="245CF836" w:rsidR="002D7622" w:rsidRDefault="002D7622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09166A">
              <w:rPr>
                <w:rFonts w:ascii="Calibri" w:hAnsi="Calibri"/>
                <w:b/>
              </w:rPr>
              <w:t>47</w:t>
            </w:r>
            <w:r w:rsidR="00B62AD2">
              <w:rPr>
                <w:rFonts w:ascii="Calibri" w:hAnsi="Calibri"/>
                <w:b/>
              </w:rPr>
              <w:t>/24</w:t>
            </w:r>
            <w:r>
              <w:rPr>
                <w:rFonts w:ascii="Calibri" w:hAnsi="Calibri"/>
                <w:b/>
              </w:rPr>
              <w:t>.</w:t>
            </w:r>
            <w:r w:rsidRPr="00A74A6E">
              <w:rPr>
                <w:rFonts w:ascii="Calibri" w:hAnsi="Calibri"/>
                <w:b/>
              </w:rPr>
              <w:t xml:space="preserve"> Public Participation Section  </w:t>
            </w:r>
          </w:p>
        </w:tc>
        <w:tc>
          <w:tcPr>
            <w:tcW w:w="992" w:type="dxa"/>
          </w:tcPr>
          <w:p w14:paraId="73AF155D" w14:textId="5DE3AAEA" w:rsidR="002D7622" w:rsidRDefault="002D7622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31D7CCFD" w14:textId="77777777" w:rsidTr="00C214E3">
        <w:tc>
          <w:tcPr>
            <w:tcW w:w="9498" w:type="dxa"/>
            <w:gridSpan w:val="2"/>
          </w:tcPr>
          <w:p w14:paraId="31D7CCFC" w14:textId="6E855C0F" w:rsidR="0009166A" w:rsidRDefault="0009166A" w:rsidP="00962ACD">
            <w:pPr>
              <w:tabs>
                <w:tab w:val="num" w:pos="1440"/>
              </w:tabs>
              <w:jc w:val="center"/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2D7622" w14:paraId="27E6EA3A" w14:textId="300FD79C" w:rsidTr="00852C1B">
        <w:tc>
          <w:tcPr>
            <w:tcW w:w="8506" w:type="dxa"/>
          </w:tcPr>
          <w:p w14:paraId="4022CBD2" w14:textId="4396F632" w:rsidR="002D7622" w:rsidRPr="00A74A6E" w:rsidRDefault="002D7622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3D1004">
              <w:rPr>
                <w:rFonts w:ascii="Calibri" w:hAnsi="Calibri"/>
                <w:b/>
              </w:rPr>
              <w:t>4</w:t>
            </w:r>
            <w:r w:rsidR="0009166A">
              <w:rPr>
                <w:rFonts w:ascii="Calibri" w:hAnsi="Calibri"/>
                <w:b/>
              </w:rPr>
              <w:t>8</w:t>
            </w:r>
            <w:r w:rsidR="00B62AD2">
              <w:rPr>
                <w:rFonts w:ascii="Calibri" w:hAnsi="Calibri"/>
                <w:b/>
              </w:rPr>
              <w:t>/24</w:t>
            </w:r>
            <w:r>
              <w:rPr>
                <w:rFonts w:ascii="Calibri" w:hAnsi="Calibri"/>
                <w:b/>
              </w:rPr>
              <w:t xml:space="preserve">. To receive following </w:t>
            </w:r>
            <w:r w:rsidRPr="00A74A6E">
              <w:rPr>
                <w:rFonts w:ascii="Calibri" w:hAnsi="Calibri"/>
                <w:b/>
              </w:rPr>
              <w:t>Reports</w:t>
            </w:r>
          </w:p>
          <w:p w14:paraId="11F21028" w14:textId="43FBC182" w:rsidR="002D7622" w:rsidRPr="00E308FC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report from West Northamptonshire Councillors</w:t>
            </w:r>
            <w:r w:rsidRPr="00E308FC">
              <w:rPr>
                <w:rFonts w:ascii="Calibri" w:hAnsi="Calibri"/>
              </w:rPr>
              <w:t xml:space="preserve"> </w:t>
            </w:r>
          </w:p>
          <w:p w14:paraId="42087FA0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>
              <w:rPr>
                <w:rFonts w:ascii="Calibri" w:hAnsi="Calibri"/>
              </w:rPr>
              <w:t>/ PLR</w:t>
            </w:r>
          </w:p>
          <w:p w14:paraId="0B242832" w14:textId="77777777" w:rsidR="002D7622" w:rsidRDefault="002D7622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2D7622">
              <w:rPr>
                <w:rFonts w:ascii="Calibri" w:hAnsi="Calibri"/>
              </w:rPr>
              <w:t>To receive report from Great Houghton Playing Field Association</w:t>
            </w:r>
          </w:p>
          <w:p w14:paraId="5A1F5BFA" w14:textId="77777777" w:rsidR="00811E3D" w:rsidRDefault="00C6799C" w:rsidP="003F6E0C">
            <w:pPr>
              <w:numPr>
                <w:ilvl w:val="0"/>
                <w:numId w:val="1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Speed/Traffic Report</w:t>
            </w:r>
          </w:p>
          <w:p w14:paraId="7C501948" w14:textId="39EE19EA" w:rsidR="00A303E6" w:rsidRPr="003F6E0C" w:rsidRDefault="00A303E6" w:rsidP="00A303E6">
            <w:pPr>
              <w:tabs>
                <w:tab w:val="left" w:pos="0"/>
              </w:tabs>
              <w:ind w:left="426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6ACF4FF7" w14:textId="4C9C469C" w:rsidR="002D7622" w:rsidRDefault="002D7622"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09166A" w14:paraId="6AABA6FE" w14:textId="77777777" w:rsidTr="00852C1B">
        <w:tc>
          <w:tcPr>
            <w:tcW w:w="8506" w:type="dxa"/>
          </w:tcPr>
          <w:p w14:paraId="5A78533A" w14:textId="77777777" w:rsidR="0009166A" w:rsidRDefault="0009166A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349/24. To receive resignation of Cllr J Russell</w:t>
            </w:r>
          </w:p>
          <w:p w14:paraId="1A91692E" w14:textId="12209E4E" w:rsidR="0009166A" w:rsidRPr="0009166A" w:rsidRDefault="0009166A" w:rsidP="0009166A">
            <w:pPr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14:paraId="577CD2B1" w14:textId="77777777" w:rsidR="0009166A" w:rsidRPr="00BD7DCD" w:rsidRDefault="0009166A">
            <w:pPr>
              <w:rPr>
                <w:rFonts w:ascii="Calibri" w:hAnsi="Calibri"/>
                <w:bCs/>
              </w:rPr>
            </w:pPr>
          </w:p>
        </w:tc>
      </w:tr>
      <w:tr w:rsidR="002D7622" w14:paraId="31D7CD1C" w14:textId="77777777" w:rsidTr="00852C1B">
        <w:tc>
          <w:tcPr>
            <w:tcW w:w="8506" w:type="dxa"/>
          </w:tcPr>
          <w:p w14:paraId="174986A5" w14:textId="72A3385B" w:rsidR="002D7622" w:rsidRPr="004573F6" w:rsidRDefault="002D7622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09166A">
              <w:rPr>
                <w:rFonts w:ascii="Calibri" w:hAnsi="Calibri"/>
                <w:b/>
              </w:rPr>
              <w:t>50</w:t>
            </w:r>
            <w:r w:rsidR="00B62AD2">
              <w:rPr>
                <w:rFonts w:ascii="Calibri" w:hAnsi="Calibri"/>
                <w:b/>
              </w:rPr>
              <w:t>/24</w:t>
            </w:r>
            <w:r>
              <w:rPr>
                <w:rFonts w:ascii="Calibri" w:hAnsi="Calibri"/>
                <w:b/>
              </w:rPr>
              <w:t>.</w:t>
            </w:r>
            <w:r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Pr="00A74A6E">
              <w:rPr>
                <w:rFonts w:ascii="Calibri" w:hAnsi="Calibri"/>
              </w:rPr>
              <w:t xml:space="preserve"> </w:t>
            </w:r>
          </w:p>
          <w:p w14:paraId="7ABF2C59" w14:textId="2EB83A66" w:rsidR="002D7622" w:rsidRPr="009F4993" w:rsidRDefault="002D7622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</w:t>
            </w:r>
            <w:r>
              <w:rPr>
                <w:rFonts w:ascii="Calibri" w:hAnsi="Calibri"/>
              </w:rPr>
              <w:t>approve the</w:t>
            </w:r>
            <w:r w:rsidRPr="003418E6">
              <w:rPr>
                <w:rFonts w:ascii="Calibri" w:hAnsi="Calibri"/>
              </w:rPr>
              <w:t xml:space="preserve"> Receipts and Payment Accounts to end of</w:t>
            </w:r>
            <w:r>
              <w:rPr>
                <w:rFonts w:ascii="Calibri" w:hAnsi="Calibri"/>
              </w:rPr>
              <w:t xml:space="preserve"> </w:t>
            </w:r>
            <w:r w:rsidR="0009166A">
              <w:rPr>
                <w:rFonts w:ascii="Calibri" w:hAnsi="Calibri"/>
              </w:rPr>
              <w:t>Feb</w:t>
            </w:r>
            <w:r>
              <w:rPr>
                <w:rFonts w:ascii="Calibri" w:hAnsi="Calibri"/>
              </w:rPr>
              <w:t xml:space="preserve"> 202</w:t>
            </w:r>
            <w:r w:rsidR="00026D3D">
              <w:rPr>
                <w:rFonts w:ascii="Calibri" w:hAnsi="Calibri"/>
              </w:rPr>
              <w:t>4</w:t>
            </w:r>
          </w:p>
          <w:p w14:paraId="40784A54" w14:textId="77777777" w:rsidR="00811E3D" w:rsidRDefault="002D7622" w:rsidP="0009166A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782227">
              <w:rPr>
                <w:rFonts w:ascii="Calibri" w:hAnsi="Calibri"/>
              </w:rPr>
              <w:t xml:space="preserve">Payments to be </w:t>
            </w:r>
            <w:r>
              <w:rPr>
                <w:rFonts w:ascii="Calibri" w:hAnsi="Calibri"/>
              </w:rPr>
              <w:t>approved.</w:t>
            </w:r>
            <w:r w:rsidRPr="00E21E5D">
              <w:rPr>
                <w:rFonts w:ascii="Calibri" w:hAnsi="Calibri"/>
              </w:rPr>
              <w:t xml:space="preserve"> </w:t>
            </w:r>
          </w:p>
          <w:p w14:paraId="3FB9EBA5" w14:textId="77777777" w:rsidR="0009166A" w:rsidRDefault="0009166A" w:rsidP="0009166A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confirm payment for Traffic Survey</w:t>
            </w:r>
          </w:p>
          <w:p w14:paraId="7E4F00C8" w14:textId="77777777" w:rsidR="00A303E6" w:rsidRDefault="00A303E6" w:rsidP="0009166A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consider replacement Signatory Councillor</w:t>
            </w:r>
          </w:p>
          <w:p w14:paraId="31D7CD1A" w14:textId="5EC88C09" w:rsidR="00A303E6" w:rsidRPr="0009166A" w:rsidRDefault="00A303E6" w:rsidP="00A303E6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1D7CD1B" w14:textId="0FE42A85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1D7CD26" w14:textId="77777777" w:rsidTr="00852C1B">
        <w:tc>
          <w:tcPr>
            <w:tcW w:w="8506" w:type="dxa"/>
          </w:tcPr>
          <w:p w14:paraId="106BFBEC" w14:textId="19F23612" w:rsidR="002D7622" w:rsidRDefault="002D7622" w:rsidP="00F125C8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9166A">
              <w:rPr>
                <w:b/>
                <w:sz w:val="24"/>
                <w:szCs w:val="24"/>
              </w:rPr>
              <w:t>51</w:t>
            </w:r>
            <w:r w:rsidR="00B62AD2">
              <w:rPr>
                <w:b/>
                <w:sz w:val="24"/>
                <w:szCs w:val="24"/>
              </w:rPr>
              <w:t>/24</w:t>
            </w:r>
            <w:r>
              <w:rPr>
                <w:b/>
                <w:sz w:val="24"/>
                <w:szCs w:val="24"/>
              </w:rPr>
              <w:t xml:space="preserve"> To receive and consider Planning Matters</w:t>
            </w:r>
          </w:p>
          <w:p w14:paraId="19AC489B" w14:textId="77777777" w:rsidR="002D7622" w:rsidRPr="00B535BC" w:rsidRDefault="002D7622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The Annual Planning Report</w:t>
            </w:r>
          </w:p>
          <w:p w14:paraId="1CF7EEF9" w14:textId="77777777" w:rsidR="00A303E6" w:rsidRDefault="002D7622" w:rsidP="00A303E6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194545">
              <w:rPr>
                <w:bCs/>
                <w:sz w:val="24"/>
                <w:szCs w:val="24"/>
              </w:rPr>
              <w:t>Receive report from PAG</w:t>
            </w:r>
            <w:r>
              <w:rPr>
                <w:bCs/>
                <w:sz w:val="24"/>
                <w:szCs w:val="24"/>
              </w:rPr>
              <w:t>.</w:t>
            </w:r>
          </w:p>
          <w:p w14:paraId="6BDB3E18" w14:textId="77777777" w:rsidR="00A303E6" w:rsidRPr="00A303E6" w:rsidRDefault="00823766" w:rsidP="00A303E6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A303E6">
              <w:rPr>
                <w:bCs/>
              </w:rPr>
              <w:t>Update on Development at The Gree</w:t>
            </w:r>
            <w:r w:rsidR="00811E3D" w:rsidRPr="00A303E6">
              <w:rPr>
                <w:bCs/>
              </w:rPr>
              <w:t>n</w:t>
            </w:r>
          </w:p>
          <w:p w14:paraId="00DF4769" w14:textId="10FCA37C" w:rsidR="003375B1" w:rsidRPr="00D334B1" w:rsidRDefault="00D334B1" w:rsidP="00A303E6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t xml:space="preserve">Update on </w:t>
            </w:r>
            <w:r w:rsidR="0009166A" w:rsidRPr="00A303E6">
              <w:t xml:space="preserve">WNC Planning Reform Settlements </w:t>
            </w:r>
          </w:p>
          <w:p w14:paraId="10E414BC" w14:textId="538B00FC" w:rsidR="00D334B1" w:rsidRPr="00A303E6" w:rsidRDefault="00D334B1" w:rsidP="00A303E6">
            <w:pPr>
              <w:pStyle w:val="PlainText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Update on failure to consult on scoping </w:t>
            </w:r>
            <w:proofErr w:type="gramStart"/>
            <w:r>
              <w:rPr>
                <w:bCs/>
              </w:rPr>
              <w:t>application</w:t>
            </w:r>
            <w:proofErr w:type="gramEnd"/>
            <w:r>
              <w:rPr>
                <w:bCs/>
              </w:rPr>
              <w:t xml:space="preserve"> </w:t>
            </w:r>
          </w:p>
          <w:p w14:paraId="31D7CD24" w14:textId="0F459276" w:rsidR="00A303E6" w:rsidRPr="00DE312C" w:rsidRDefault="00A303E6" w:rsidP="00A303E6">
            <w:pPr>
              <w:tabs>
                <w:tab w:val="left" w:pos="0"/>
              </w:tabs>
              <w:ind w:left="644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14:paraId="31D7CD25" w14:textId="3F70A3F1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4A108830" w14:textId="77777777" w:rsidTr="00852C1B">
        <w:tc>
          <w:tcPr>
            <w:tcW w:w="8506" w:type="dxa"/>
          </w:tcPr>
          <w:p w14:paraId="6E31F9A9" w14:textId="031C4FD3" w:rsidR="003D1004" w:rsidRPr="0009166A" w:rsidRDefault="002D7622" w:rsidP="0009166A">
            <w:pPr>
              <w:pStyle w:val="Plai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09166A">
              <w:rPr>
                <w:b/>
                <w:sz w:val="24"/>
                <w:szCs w:val="24"/>
              </w:rPr>
              <w:t>52</w:t>
            </w:r>
            <w:r w:rsidR="00B62AD2">
              <w:rPr>
                <w:b/>
                <w:sz w:val="24"/>
                <w:szCs w:val="24"/>
              </w:rPr>
              <w:t>/24</w:t>
            </w:r>
            <w:r>
              <w:rPr>
                <w:b/>
                <w:sz w:val="24"/>
                <w:szCs w:val="24"/>
              </w:rPr>
              <w:t xml:space="preserve"> To receive the Clerk’s Report</w:t>
            </w:r>
          </w:p>
          <w:p w14:paraId="10499BCD" w14:textId="3B0B6BCA" w:rsidR="00627AE1" w:rsidRDefault="0009166A" w:rsidP="00A303E6">
            <w:pPr>
              <w:pStyle w:val="PlainText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</w:t>
            </w:r>
            <w:r w:rsidR="003D1004">
              <w:rPr>
                <w:bCs/>
                <w:sz w:val="24"/>
                <w:szCs w:val="24"/>
              </w:rPr>
              <w:t xml:space="preserve"> Emergency Plan</w:t>
            </w:r>
          </w:p>
          <w:p w14:paraId="4CED2BFF" w14:textId="15959935" w:rsidR="00D334B1" w:rsidRPr="00A303E6" w:rsidRDefault="00D334B1" w:rsidP="00A303E6">
            <w:pPr>
              <w:pStyle w:val="PlainText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Update on Community Governance Review</w:t>
            </w:r>
          </w:p>
          <w:p w14:paraId="49435045" w14:textId="0593FB4C" w:rsidR="00DE312C" w:rsidRPr="003D1004" w:rsidRDefault="00DE312C" w:rsidP="00DE312C">
            <w:pPr>
              <w:pStyle w:val="PlainText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6B3657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40D1DF3" w14:textId="77777777" w:rsidTr="00852C1B">
        <w:tc>
          <w:tcPr>
            <w:tcW w:w="8506" w:type="dxa"/>
          </w:tcPr>
          <w:p w14:paraId="37672299" w14:textId="69470BEF" w:rsidR="002D7622" w:rsidRPr="00E21E5D" w:rsidRDefault="002D7622" w:rsidP="00E21E5D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C094F">
              <w:rPr>
                <w:b/>
                <w:sz w:val="24"/>
                <w:szCs w:val="24"/>
              </w:rPr>
              <w:t>53</w:t>
            </w:r>
            <w:r w:rsidR="00B62AD2">
              <w:rPr>
                <w:b/>
                <w:sz w:val="24"/>
                <w:szCs w:val="24"/>
              </w:rPr>
              <w:t>/24</w:t>
            </w:r>
            <w:r w:rsidRPr="006371A2">
              <w:rPr>
                <w:b/>
                <w:sz w:val="24"/>
                <w:szCs w:val="24"/>
              </w:rPr>
              <w:t xml:space="preserve">. </w:t>
            </w:r>
            <w:r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maintenance/Highway matters</w:t>
            </w:r>
          </w:p>
          <w:p w14:paraId="527358C1" w14:textId="2723518F" w:rsidR="00A303E6" w:rsidRPr="00A303E6" w:rsidRDefault="002D7622" w:rsidP="00A303E6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Leys Lane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, Disused Railway/Cycleway/Footpath, 20mph speed signs</w:t>
            </w:r>
            <w:r w:rsidR="00D334B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</w:p>
          <w:p w14:paraId="6DCD7F3F" w14:textId="58924579" w:rsidR="003D1004" w:rsidRDefault="00026D3D" w:rsidP="003F6E0C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To further conside</w:t>
            </w:r>
            <w:r w:rsidR="00A303E6">
              <w:rPr>
                <w:rFonts w:cs="Arial"/>
                <w:bCs/>
                <w:color w:val="000000"/>
                <w:sz w:val="24"/>
                <w:szCs w:val="24"/>
              </w:rPr>
              <w:t>r matters relating to Bedford Road and Farm.</w:t>
            </w:r>
          </w:p>
          <w:p w14:paraId="43C6301D" w14:textId="267DED85" w:rsidR="00CB0A9C" w:rsidRDefault="00CB0A9C" w:rsidP="003F6E0C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Update on Pocket Park Maintenance and replacement of bench</w:t>
            </w:r>
            <w:r w:rsidR="00627AE1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</w:p>
          <w:p w14:paraId="12779446" w14:textId="7E49DFA0" w:rsidR="00A303E6" w:rsidRDefault="00A303E6" w:rsidP="003F6E0C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To consider alternative arrangements for operating Speed Activated Camera</w:t>
            </w:r>
          </w:p>
          <w:p w14:paraId="055EA740" w14:textId="643A71A7" w:rsidR="00A303E6" w:rsidRDefault="00A303E6" w:rsidP="003F6E0C">
            <w:pPr>
              <w:pStyle w:val="PlainText"/>
              <w:numPr>
                <w:ilvl w:val="0"/>
                <w:numId w:val="5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To consider alternative management of Book-Swap Kiosk</w:t>
            </w:r>
          </w:p>
          <w:p w14:paraId="3B04BF44" w14:textId="6869EE7D" w:rsidR="003F6E0C" w:rsidRPr="003F6E0C" w:rsidRDefault="003F6E0C" w:rsidP="003F6E0C">
            <w:pPr>
              <w:pStyle w:val="PlainText"/>
              <w:ind w:left="360"/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02A5BB6" w14:textId="77777777" w:rsidR="002D7622" w:rsidRPr="00BD7DCD" w:rsidRDefault="002D7622" w:rsidP="00BD7DCD">
            <w:pPr>
              <w:rPr>
                <w:rFonts w:ascii="Calibri" w:hAnsi="Calibri"/>
                <w:bCs/>
              </w:rPr>
            </w:pPr>
          </w:p>
        </w:tc>
      </w:tr>
      <w:tr w:rsidR="002D7622" w14:paraId="39E91EFE" w14:textId="77777777" w:rsidTr="00852C1B">
        <w:tc>
          <w:tcPr>
            <w:tcW w:w="8506" w:type="dxa"/>
          </w:tcPr>
          <w:p w14:paraId="3B143343" w14:textId="279BE5C4" w:rsidR="002D7622" w:rsidRDefault="002D7622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  <w:r w:rsidR="000C094F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54</w:t>
            </w:r>
            <w:r w:rsidR="00B62AD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/24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66404098" w14:textId="25543BE6" w:rsidR="00811E3D" w:rsidRPr="00211677" w:rsidRDefault="00811E3D" w:rsidP="0021167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49FAE9D3" w14:textId="22E307B8" w:rsidR="002D7622" w:rsidRPr="00BD7DCD" w:rsidRDefault="002D7622" w:rsidP="00BD7D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59054584" w14:textId="77777777" w:rsidR="0057153E" w:rsidRDefault="0057153E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63159FBF" w14:textId="77777777" w:rsidR="00811E3D" w:rsidRDefault="00811E3D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p w14:paraId="060BBCA4" w14:textId="486A94CD" w:rsidR="00811E3D" w:rsidRDefault="00811E3D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Attachments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5"/>
        <w:gridCol w:w="3006"/>
      </w:tblGrid>
      <w:tr w:rsidR="00811E3D" w14:paraId="5FFA551B" w14:textId="77777777" w:rsidTr="00D334B1">
        <w:tc>
          <w:tcPr>
            <w:tcW w:w="2405" w:type="dxa"/>
          </w:tcPr>
          <w:p w14:paraId="1CCC4783" w14:textId="100B9010" w:rsidR="00811E3D" w:rsidRDefault="00D334B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Minutes 20 Feb 2024</w:t>
            </w:r>
          </w:p>
        </w:tc>
        <w:tc>
          <w:tcPr>
            <w:tcW w:w="3605" w:type="dxa"/>
          </w:tcPr>
          <w:p w14:paraId="63E03771" w14:textId="72DF507F" w:rsidR="00811E3D" w:rsidRDefault="00D334B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Accounts end Feb 2024</w:t>
            </w:r>
          </w:p>
        </w:tc>
        <w:tc>
          <w:tcPr>
            <w:tcW w:w="3006" w:type="dxa"/>
          </w:tcPr>
          <w:p w14:paraId="2BBBD580" w14:textId="6D81409F" w:rsidR="00811E3D" w:rsidRDefault="00D334B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Payments to be Authorised</w:t>
            </w:r>
          </w:p>
        </w:tc>
      </w:tr>
      <w:tr w:rsidR="00811E3D" w14:paraId="3CE32A19" w14:textId="77777777" w:rsidTr="00D334B1">
        <w:tc>
          <w:tcPr>
            <w:tcW w:w="2405" w:type="dxa"/>
          </w:tcPr>
          <w:p w14:paraId="219FE333" w14:textId="781CB18F" w:rsidR="00811E3D" w:rsidRDefault="00D334B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Annual Planning Report</w:t>
            </w:r>
          </w:p>
        </w:tc>
        <w:tc>
          <w:tcPr>
            <w:tcW w:w="3605" w:type="dxa"/>
          </w:tcPr>
          <w:p w14:paraId="0DDBCEB5" w14:textId="3DBB8B66" w:rsidR="00811E3D" w:rsidRDefault="00D334B1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Community Governance Review</w:t>
            </w:r>
          </w:p>
        </w:tc>
        <w:tc>
          <w:tcPr>
            <w:tcW w:w="3006" w:type="dxa"/>
          </w:tcPr>
          <w:p w14:paraId="4495AB8D" w14:textId="360507C3" w:rsidR="00811E3D" w:rsidRDefault="00811E3D" w:rsidP="00451542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</w:tbl>
    <w:p w14:paraId="2CDB951F" w14:textId="77777777" w:rsidR="00811E3D" w:rsidRDefault="00811E3D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811E3D" w:rsidSect="00506B30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4621" w14:textId="77777777" w:rsidR="00A53ED2" w:rsidRDefault="00A53ED2">
      <w:r>
        <w:separator/>
      </w:r>
    </w:p>
  </w:endnote>
  <w:endnote w:type="continuationSeparator" w:id="0">
    <w:p w14:paraId="62DFCF5D" w14:textId="77777777" w:rsidR="00A53ED2" w:rsidRDefault="00A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CD60" w14:textId="5BFCEF34" w:rsidR="00C4515D" w:rsidRDefault="00C45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C81E" w14:textId="77777777" w:rsidR="00A53ED2" w:rsidRDefault="00A53ED2">
      <w:r>
        <w:separator/>
      </w:r>
    </w:p>
  </w:footnote>
  <w:footnote w:type="continuationSeparator" w:id="0">
    <w:p w14:paraId="683D2675" w14:textId="77777777" w:rsidR="00A53ED2" w:rsidRDefault="00A5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5F65"/>
    <w:multiLevelType w:val="hybridMultilevel"/>
    <w:tmpl w:val="3D067F8A"/>
    <w:lvl w:ilvl="0" w:tplc="70B433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A2DAB"/>
    <w:multiLevelType w:val="hybridMultilevel"/>
    <w:tmpl w:val="8F8680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C0BE1"/>
    <w:multiLevelType w:val="hybridMultilevel"/>
    <w:tmpl w:val="1FF20C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E6E21"/>
    <w:multiLevelType w:val="hybridMultilevel"/>
    <w:tmpl w:val="5DC01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623D2"/>
    <w:multiLevelType w:val="hybridMultilevel"/>
    <w:tmpl w:val="F0BE69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880197">
    <w:abstractNumId w:val="2"/>
  </w:num>
  <w:num w:numId="2" w16cid:durableId="791171404">
    <w:abstractNumId w:val="6"/>
  </w:num>
  <w:num w:numId="3" w16cid:durableId="1060709352">
    <w:abstractNumId w:val="0"/>
  </w:num>
  <w:num w:numId="4" w16cid:durableId="2051301103">
    <w:abstractNumId w:val="5"/>
  </w:num>
  <w:num w:numId="5" w16cid:durableId="130831913">
    <w:abstractNumId w:val="1"/>
  </w:num>
  <w:num w:numId="6" w16cid:durableId="567611693">
    <w:abstractNumId w:val="3"/>
  </w:num>
  <w:num w:numId="7" w16cid:durableId="68532713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126D"/>
    <w:rsid w:val="00002EC3"/>
    <w:rsid w:val="00010A9A"/>
    <w:rsid w:val="00015E1E"/>
    <w:rsid w:val="00016396"/>
    <w:rsid w:val="00016777"/>
    <w:rsid w:val="00021834"/>
    <w:rsid w:val="00022573"/>
    <w:rsid w:val="00023D87"/>
    <w:rsid w:val="00024690"/>
    <w:rsid w:val="00026D3D"/>
    <w:rsid w:val="00040D6F"/>
    <w:rsid w:val="00043ABE"/>
    <w:rsid w:val="0004790A"/>
    <w:rsid w:val="00056D78"/>
    <w:rsid w:val="000625BD"/>
    <w:rsid w:val="00070E31"/>
    <w:rsid w:val="00070FCA"/>
    <w:rsid w:val="000805AF"/>
    <w:rsid w:val="00085387"/>
    <w:rsid w:val="0009166A"/>
    <w:rsid w:val="00094DEC"/>
    <w:rsid w:val="00094FD5"/>
    <w:rsid w:val="000B02C7"/>
    <w:rsid w:val="000B075A"/>
    <w:rsid w:val="000B2283"/>
    <w:rsid w:val="000C094F"/>
    <w:rsid w:val="000C1A5D"/>
    <w:rsid w:val="000D49E3"/>
    <w:rsid w:val="000E356B"/>
    <w:rsid w:val="000F0E45"/>
    <w:rsid w:val="000F148B"/>
    <w:rsid w:val="00130E10"/>
    <w:rsid w:val="001310F1"/>
    <w:rsid w:val="00140C4E"/>
    <w:rsid w:val="00152251"/>
    <w:rsid w:val="001756A1"/>
    <w:rsid w:val="00184FBE"/>
    <w:rsid w:val="00194545"/>
    <w:rsid w:val="001A7929"/>
    <w:rsid w:val="001D0177"/>
    <w:rsid w:val="001D2D2C"/>
    <w:rsid w:val="001E0813"/>
    <w:rsid w:val="001E1B9A"/>
    <w:rsid w:val="001E5452"/>
    <w:rsid w:val="001F09A2"/>
    <w:rsid w:val="001F71BE"/>
    <w:rsid w:val="0020339A"/>
    <w:rsid w:val="0020625E"/>
    <w:rsid w:val="00211677"/>
    <w:rsid w:val="00242E58"/>
    <w:rsid w:val="0026092E"/>
    <w:rsid w:val="00262FDF"/>
    <w:rsid w:val="00280217"/>
    <w:rsid w:val="00286E3D"/>
    <w:rsid w:val="002A7269"/>
    <w:rsid w:val="002B7D36"/>
    <w:rsid w:val="002C18AB"/>
    <w:rsid w:val="002C52C2"/>
    <w:rsid w:val="002D1852"/>
    <w:rsid w:val="002D7622"/>
    <w:rsid w:val="002E624C"/>
    <w:rsid w:val="002E772D"/>
    <w:rsid w:val="002F5094"/>
    <w:rsid w:val="003151D6"/>
    <w:rsid w:val="00317A02"/>
    <w:rsid w:val="003318CA"/>
    <w:rsid w:val="00331B51"/>
    <w:rsid w:val="00333538"/>
    <w:rsid w:val="00336EAA"/>
    <w:rsid w:val="003375B1"/>
    <w:rsid w:val="003418E6"/>
    <w:rsid w:val="0035308E"/>
    <w:rsid w:val="00353430"/>
    <w:rsid w:val="00353D6B"/>
    <w:rsid w:val="003647A6"/>
    <w:rsid w:val="003876BE"/>
    <w:rsid w:val="00390EAA"/>
    <w:rsid w:val="003960C3"/>
    <w:rsid w:val="00396321"/>
    <w:rsid w:val="003A3AA1"/>
    <w:rsid w:val="003B2ACE"/>
    <w:rsid w:val="003B554E"/>
    <w:rsid w:val="003B7E6C"/>
    <w:rsid w:val="003D1004"/>
    <w:rsid w:val="003D11E3"/>
    <w:rsid w:val="003D7A3E"/>
    <w:rsid w:val="003E3E98"/>
    <w:rsid w:val="003F2BDC"/>
    <w:rsid w:val="003F6E0C"/>
    <w:rsid w:val="00425825"/>
    <w:rsid w:val="00426C4A"/>
    <w:rsid w:val="00432D4C"/>
    <w:rsid w:val="004445C0"/>
    <w:rsid w:val="004455C4"/>
    <w:rsid w:val="00446D41"/>
    <w:rsid w:val="00451542"/>
    <w:rsid w:val="00453E74"/>
    <w:rsid w:val="004573F6"/>
    <w:rsid w:val="00466209"/>
    <w:rsid w:val="004741D5"/>
    <w:rsid w:val="0047426E"/>
    <w:rsid w:val="0049230C"/>
    <w:rsid w:val="004A67B2"/>
    <w:rsid w:val="004B0C1E"/>
    <w:rsid w:val="004D0312"/>
    <w:rsid w:val="004D67EA"/>
    <w:rsid w:val="0050026D"/>
    <w:rsid w:val="00500364"/>
    <w:rsid w:val="00506B30"/>
    <w:rsid w:val="00510596"/>
    <w:rsid w:val="005128BF"/>
    <w:rsid w:val="00514AD3"/>
    <w:rsid w:val="00520475"/>
    <w:rsid w:val="0053230E"/>
    <w:rsid w:val="00536AC7"/>
    <w:rsid w:val="00541BDD"/>
    <w:rsid w:val="00547013"/>
    <w:rsid w:val="005554A8"/>
    <w:rsid w:val="0057153E"/>
    <w:rsid w:val="0057252D"/>
    <w:rsid w:val="00582CCE"/>
    <w:rsid w:val="00583D0E"/>
    <w:rsid w:val="005848DA"/>
    <w:rsid w:val="00592A04"/>
    <w:rsid w:val="00596D3E"/>
    <w:rsid w:val="005A008D"/>
    <w:rsid w:val="005A0C06"/>
    <w:rsid w:val="005A1E8E"/>
    <w:rsid w:val="005A4A1D"/>
    <w:rsid w:val="005A53F2"/>
    <w:rsid w:val="005A5AFC"/>
    <w:rsid w:val="005C5961"/>
    <w:rsid w:val="005E3D57"/>
    <w:rsid w:val="005E5BFB"/>
    <w:rsid w:val="005E6F61"/>
    <w:rsid w:val="005E6FFC"/>
    <w:rsid w:val="005E782B"/>
    <w:rsid w:val="006125D3"/>
    <w:rsid w:val="006127EA"/>
    <w:rsid w:val="0061433D"/>
    <w:rsid w:val="006155E3"/>
    <w:rsid w:val="00617A46"/>
    <w:rsid w:val="00620B49"/>
    <w:rsid w:val="00627081"/>
    <w:rsid w:val="00627AE1"/>
    <w:rsid w:val="006311DB"/>
    <w:rsid w:val="006371A2"/>
    <w:rsid w:val="00644050"/>
    <w:rsid w:val="0065511D"/>
    <w:rsid w:val="00656695"/>
    <w:rsid w:val="00656B1F"/>
    <w:rsid w:val="006600E5"/>
    <w:rsid w:val="00662A95"/>
    <w:rsid w:val="00667271"/>
    <w:rsid w:val="00670279"/>
    <w:rsid w:val="00677634"/>
    <w:rsid w:val="00680BA1"/>
    <w:rsid w:val="0068568F"/>
    <w:rsid w:val="00697EE7"/>
    <w:rsid w:val="006A70A7"/>
    <w:rsid w:val="006B2F0E"/>
    <w:rsid w:val="006C3AB8"/>
    <w:rsid w:val="006E04F3"/>
    <w:rsid w:val="006E2B9F"/>
    <w:rsid w:val="006E5E86"/>
    <w:rsid w:val="006E651A"/>
    <w:rsid w:val="006F0F20"/>
    <w:rsid w:val="006F5D9A"/>
    <w:rsid w:val="00701C2B"/>
    <w:rsid w:val="0070267E"/>
    <w:rsid w:val="007211CE"/>
    <w:rsid w:val="00722DC5"/>
    <w:rsid w:val="007322EA"/>
    <w:rsid w:val="00737634"/>
    <w:rsid w:val="00744ED9"/>
    <w:rsid w:val="00760472"/>
    <w:rsid w:val="00771411"/>
    <w:rsid w:val="00777014"/>
    <w:rsid w:val="00782227"/>
    <w:rsid w:val="00787676"/>
    <w:rsid w:val="00790A01"/>
    <w:rsid w:val="00791A5B"/>
    <w:rsid w:val="00797B97"/>
    <w:rsid w:val="007A0FAE"/>
    <w:rsid w:val="007A243B"/>
    <w:rsid w:val="007A263A"/>
    <w:rsid w:val="007A2E33"/>
    <w:rsid w:val="007A2F09"/>
    <w:rsid w:val="007A41A4"/>
    <w:rsid w:val="007C2B1C"/>
    <w:rsid w:val="007C4E1A"/>
    <w:rsid w:val="007C58C3"/>
    <w:rsid w:val="007D42D9"/>
    <w:rsid w:val="007D6608"/>
    <w:rsid w:val="007E23C9"/>
    <w:rsid w:val="007E5771"/>
    <w:rsid w:val="007F4DC3"/>
    <w:rsid w:val="007F62AA"/>
    <w:rsid w:val="00801792"/>
    <w:rsid w:val="00811E3D"/>
    <w:rsid w:val="00823766"/>
    <w:rsid w:val="0082500A"/>
    <w:rsid w:val="00825800"/>
    <w:rsid w:val="00826510"/>
    <w:rsid w:val="00827358"/>
    <w:rsid w:val="008415F9"/>
    <w:rsid w:val="00850197"/>
    <w:rsid w:val="008509A8"/>
    <w:rsid w:val="00852C1B"/>
    <w:rsid w:val="008569F0"/>
    <w:rsid w:val="0088505B"/>
    <w:rsid w:val="00894FE9"/>
    <w:rsid w:val="008A60F8"/>
    <w:rsid w:val="008D00C5"/>
    <w:rsid w:val="008D5442"/>
    <w:rsid w:val="008D608F"/>
    <w:rsid w:val="008E0B61"/>
    <w:rsid w:val="008E5B2D"/>
    <w:rsid w:val="008E7606"/>
    <w:rsid w:val="009202DE"/>
    <w:rsid w:val="00946653"/>
    <w:rsid w:val="00946987"/>
    <w:rsid w:val="00955942"/>
    <w:rsid w:val="00960DD0"/>
    <w:rsid w:val="009616A5"/>
    <w:rsid w:val="00962ACD"/>
    <w:rsid w:val="00962E2F"/>
    <w:rsid w:val="009648F3"/>
    <w:rsid w:val="00970CE5"/>
    <w:rsid w:val="00971686"/>
    <w:rsid w:val="00972374"/>
    <w:rsid w:val="00972682"/>
    <w:rsid w:val="00973AA0"/>
    <w:rsid w:val="00986671"/>
    <w:rsid w:val="00995220"/>
    <w:rsid w:val="009B2CC3"/>
    <w:rsid w:val="009B5A88"/>
    <w:rsid w:val="009C06F3"/>
    <w:rsid w:val="009C18CE"/>
    <w:rsid w:val="009C597D"/>
    <w:rsid w:val="009C63CE"/>
    <w:rsid w:val="009E3598"/>
    <w:rsid w:val="009E66F9"/>
    <w:rsid w:val="009E7D34"/>
    <w:rsid w:val="009F0FFC"/>
    <w:rsid w:val="009F4993"/>
    <w:rsid w:val="009F6328"/>
    <w:rsid w:val="00A01B19"/>
    <w:rsid w:val="00A05A06"/>
    <w:rsid w:val="00A14074"/>
    <w:rsid w:val="00A2535C"/>
    <w:rsid w:val="00A303E6"/>
    <w:rsid w:val="00A30C0F"/>
    <w:rsid w:val="00A53ED2"/>
    <w:rsid w:val="00A5541F"/>
    <w:rsid w:val="00A5687D"/>
    <w:rsid w:val="00A6733E"/>
    <w:rsid w:val="00A72083"/>
    <w:rsid w:val="00A7340D"/>
    <w:rsid w:val="00A73C7D"/>
    <w:rsid w:val="00A74A6E"/>
    <w:rsid w:val="00A74E92"/>
    <w:rsid w:val="00A771A1"/>
    <w:rsid w:val="00A849E1"/>
    <w:rsid w:val="00A90DEF"/>
    <w:rsid w:val="00A91DC6"/>
    <w:rsid w:val="00AA767C"/>
    <w:rsid w:val="00AC48FE"/>
    <w:rsid w:val="00AC5761"/>
    <w:rsid w:val="00AC69EE"/>
    <w:rsid w:val="00AD40EB"/>
    <w:rsid w:val="00AD4747"/>
    <w:rsid w:val="00AE07FA"/>
    <w:rsid w:val="00AE09C4"/>
    <w:rsid w:val="00B013C4"/>
    <w:rsid w:val="00B01566"/>
    <w:rsid w:val="00B0365C"/>
    <w:rsid w:val="00B15814"/>
    <w:rsid w:val="00B16860"/>
    <w:rsid w:val="00B22A65"/>
    <w:rsid w:val="00B26280"/>
    <w:rsid w:val="00B350A3"/>
    <w:rsid w:val="00B46079"/>
    <w:rsid w:val="00B522F0"/>
    <w:rsid w:val="00B535BC"/>
    <w:rsid w:val="00B574F4"/>
    <w:rsid w:val="00B5759F"/>
    <w:rsid w:val="00B61804"/>
    <w:rsid w:val="00B62AD2"/>
    <w:rsid w:val="00B76F76"/>
    <w:rsid w:val="00B81FA1"/>
    <w:rsid w:val="00B82B75"/>
    <w:rsid w:val="00B96C37"/>
    <w:rsid w:val="00BA02B4"/>
    <w:rsid w:val="00BA3E38"/>
    <w:rsid w:val="00BD7DCD"/>
    <w:rsid w:val="00BE05D6"/>
    <w:rsid w:val="00BE68A9"/>
    <w:rsid w:val="00BF2B6F"/>
    <w:rsid w:val="00BF4E2F"/>
    <w:rsid w:val="00C033E0"/>
    <w:rsid w:val="00C11BF6"/>
    <w:rsid w:val="00C23A63"/>
    <w:rsid w:val="00C337F7"/>
    <w:rsid w:val="00C36204"/>
    <w:rsid w:val="00C43F38"/>
    <w:rsid w:val="00C442FA"/>
    <w:rsid w:val="00C4515D"/>
    <w:rsid w:val="00C575E4"/>
    <w:rsid w:val="00C6799C"/>
    <w:rsid w:val="00C72728"/>
    <w:rsid w:val="00C7288C"/>
    <w:rsid w:val="00C91011"/>
    <w:rsid w:val="00C92F25"/>
    <w:rsid w:val="00C93ADC"/>
    <w:rsid w:val="00C9417C"/>
    <w:rsid w:val="00CA0150"/>
    <w:rsid w:val="00CA3ED9"/>
    <w:rsid w:val="00CB0A9C"/>
    <w:rsid w:val="00CB71F6"/>
    <w:rsid w:val="00CC19E1"/>
    <w:rsid w:val="00CD1CF6"/>
    <w:rsid w:val="00CD4A2F"/>
    <w:rsid w:val="00CE11B8"/>
    <w:rsid w:val="00CF5B33"/>
    <w:rsid w:val="00D01343"/>
    <w:rsid w:val="00D0474B"/>
    <w:rsid w:val="00D145DC"/>
    <w:rsid w:val="00D2095A"/>
    <w:rsid w:val="00D26A3C"/>
    <w:rsid w:val="00D334B1"/>
    <w:rsid w:val="00D42985"/>
    <w:rsid w:val="00D45E8C"/>
    <w:rsid w:val="00D55868"/>
    <w:rsid w:val="00D565CF"/>
    <w:rsid w:val="00D57053"/>
    <w:rsid w:val="00D730BF"/>
    <w:rsid w:val="00D74623"/>
    <w:rsid w:val="00D76616"/>
    <w:rsid w:val="00D87F79"/>
    <w:rsid w:val="00D9155E"/>
    <w:rsid w:val="00D960CF"/>
    <w:rsid w:val="00DA118B"/>
    <w:rsid w:val="00DB74AF"/>
    <w:rsid w:val="00DD729D"/>
    <w:rsid w:val="00DE0176"/>
    <w:rsid w:val="00DE26E5"/>
    <w:rsid w:val="00DE312C"/>
    <w:rsid w:val="00DE617F"/>
    <w:rsid w:val="00DF0865"/>
    <w:rsid w:val="00DF1B31"/>
    <w:rsid w:val="00E123A9"/>
    <w:rsid w:val="00E12B1C"/>
    <w:rsid w:val="00E21E5D"/>
    <w:rsid w:val="00E258DD"/>
    <w:rsid w:val="00E308FC"/>
    <w:rsid w:val="00E32C19"/>
    <w:rsid w:val="00E4148A"/>
    <w:rsid w:val="00E73181"/>
    <w:rsid w:val="00E752B4"/>
    <w:rsid w:val="00E76487"/>
    <w:rsid w:val="00E94BD2"/>
    <w:rsid w:val="00E9653C"/>
    <w:rsid w:val="00EB355A"/>
    <w:rsid w:val="00EB47E0"/>
    <w:rsid w:val="00EC2719"/>
    <w:rsid w:val="00ED7148"/>
    <w:rsid w:val="00EE2C93"/>
    <w:rsid w:val="00EF2433"/>
    <w:rsid w:val="00EF281E"/>
    <w:rsid w:val="00F125C8"/>
    <w:rsid w:val="00F210DA"/>
    <w:rsid w:val="00F257AE"/>
    <w:rsid w:val="00F3162F"/>
    <w:rsid w:val="00F34B1B"/>
    <w:rsid w:val="00F35279"/>
    <w:rsid w:val="00F42FBB"/>
    <w:rsid w:val="00F54B15"/>
    <w:rsid w:val="00F65341"/>
    <w:rsid w:val="00F73CE5"/>
    <w:rsid w:val="00F94AD3"/>
    <w:rsid w:val="00F9624D"/>
    <w:rsid w:val="00FA2AE0"/>
    <w:rsid w:val="00FB3F22"/>
    <w:rsid w:val="00FB3FE6"/>
    <w:rsid w:val="00FE13FE"/>
    <w:rsid w:val="00FF21F3"/>
    <w:rsid w:val="00FF2AE6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1</TotalTime>
  <Pages>2</Pages>
  <Words>391</Words>
  <Characters>2120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Hackleton Parish Council</vt:lpstr>
      <vt:lpstr>Cllr Sarah Williams						Mr Mike Billingham</vt:lpstr>
    </vt:vector>
  </TitlesOfParts>
  <Company/>
  <LinksUpToDate>false</LinksUpToDate>
  <CharactersWithSpaces>2506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4</cp:revision>
  <cp:lastPrinted>2024-04-03T13:04:00Z</cp:lastPrinted>
  <dcterms:created xsi:type="dcterms:W3CDTF">2024-03-08T09:50:00Z</dcterms:created>
  <dcterms:modified xsi:type="dcterms:W3CDTF">2024-04-03T13:05:00Z</dcterms:modified>
</cp:coreProperties>
</file>