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0A369ECE" w:rsidR="00BD7DCD" w:rsidRDefault="00BD7DCD" w:rsidP="005848DA">
      <w:pPr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4455C4">
        <w:rPr>
          <w:rFonts w:ascii="Calibri" w:hAnsi="Calibri"/>
          <w:b/>
          <w:bCs/>
        </w:rPr>
        <w:t xml:space="preserve">on </w:t>
      </w:r>
      <w:r w:rsidR="007C2B1C">
        <w:rPr>
          <w:rFonts w:ascii="Calibri" w:hAnsi="Calibri"/>
          <w:b/>
          <w:bCs/>
        </w:rPr>
        <w:t>Tu</w:t>
      </w:r>
      <w:r w:rsidR="00CD4B25">
        <w:rPr>
          <w:rFonts w:ascii="Calibri" w:hAnsi="Calibri"/>
          <w:b/>
          <w:bCs/>
        </w:rPr>
        <w:t xml:space="preserve">esday </w:t>
      </w:r>
      <w:r w:rsidR="00D733C0">
        <w:rPr>
          <w:rFonts w:ascii="Calibri" w:hAnsi="Calibri"/>
          <w:b/>
          <w:bCs/>
        </w:rPr>
        <w:t>1</w:t>
      </w:r>
      <w:r w:rsidR="00292F10">
        <w:rPr>
          <w:rFonts w:ascii="Calibri" w:hAnsi="Calibri"/>
          <w:b/>
          <w:bCs/>
        </w:rPr>
        <w:t>9</w:t>
      </w:r>
      <w:r w:rsidR="00710671">
        <w:rPr>
          <w:rFonts w:ascii="Calibri" w:hAnsi="Calibri"/>
          <w:b/>
          <w:bCs/>
        </w:rPr>
        <w:t xml:space="preserve"> </w:t>
      </w:r>
      <w:r w:rsidR="00292F10">
        <w:rPr>
          <w:rFonts w:ascii="Calibri" w:hAnsi="Calibri"/>
          <w:b/>
          <w:bCs/>
        </w:rPr>
        <w:t>Novem</w:t>
      </w:r>
      <w:r w:rsidR="00710671">
        <w:rPr>
          <w:rFonts w:ascii="Calibri" w:hAnsi="Calibri"/>
          <w:b/>
          <w:bCs/>
        </w:rPr>
        <w:t>ber</w:t>
      </w:r>
      <w:r w:rsidR="00B62AD2">
        <w:rPr>
          <w:rFonts w:ascii="Calibri" w:hAnsi="Calibri"/>
          <w:b/>
          <w:bCs/>
        </w:rPr>
        <w:t xml:space="preserve"> 2024</w:t>
      </w:r>
      <w:r w:rsidR="00506B30">
        <w:rPr>
          <w:rFonts w:ascii="Calibri" w:hAnsi="Calibri"/>
          <w:b/>
          <w:bCs/>
        </w:rPr>
        <w:t xml:space="preserve"> at the Village Hall, Leys Lane</w:t>
      </w:r>
      <w:r>
        <w:rPr>
          <w:rFonts w:ascii="Calibri" w:hAnsi="Calibri"/>
          <w:b/>
          <w:bCs/>
        </w:rPr>
        <w:t xml:space="preserve"> 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1F8582A7" w14:textId="7512B6C8" w:rsidR="00811E3D" w:rsidRDefault="00BD7DCD" w:rsidP="00D334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</w:p>
    <w:p w14:paraId="5C7897FB" w14:textId="77777777" w:rsidR="00D334B1" w:rsidRPr="005A0C06" w:rsidRDefault="00D334B1" w:rsidP="00D334B1">
      <w:pPr>
        <w:jc w:val="center"/>
        <w:rPr>
          <w:rFonts w:ascii="Calibri" w:hAnsi="Calibri"/>
          <w:b/>
          <w:bCs/>
        </w:rPr>
      </w:pPr>
    </w:p>
    <w:p w14:paraId="0E371646" w14:textId="70F0FD17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78180A1A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Dated</w:t>
      </w:r>
      <w:r w:rsidR="008C691D">
        <w:rPr>
          <w:rFonts w:ascii="Calibri" w:hAnsi="Calibri"/>
          <w:bCs/>
        </w:rPr>
        <w:t xml:space="preserve"> </w:t>
      </w:r>
      <w:r w:rsidR="00292F10">
        <w:rPr>
          <w:rFonts w:ascii="Calibri" w:hAnsi="Calibri"/>
          <w:bCs/>
        </w:rPr>
        <w:t>Wed</w:t>
      </w:r>
      <w:r w:rsidR="00710671">
        <w:rPr>
          <w:rFonts w:ascii="Calibri" w:hAnsi="Calibri"/>
          <w:bCs/>
        </w:rPr>
        <w:t xml:space="preserve"> </w:t>
      </w:r>
      <w:r w:rsidR="00292F10">
        <w:rPr>
          <w:rFonts w:ascii="Calibri" w:hAnsi="Calibri"/>
          <w:bCs/>
        </w:rPr>
        <w:t>13 Novem</w:t>
      </w:r>
      <w:r w:rsidR="00710671">
        <w:rPr>
          <w:rFonts w:ascii="Calibri" w:hAnsi="Calibri"/>
          <w:bCs/>
        </w:rPr>
        <w:t>ber</w:t>
      </w:r>
      <w:r w:rsidR="008C691D">
        <w:rPr>
          <w:rFonts w:ascii="Calibri" w:hAnsi="Calibri"/>
          <w:bCs/>
        </w:rPr>
        <w:t xml:space="preserve"> </w:t>
      </w:r>
      <w:r w:rsidR="00B62AD2">
        <w:rPr>
          <w:rFonts w:ascii="Calibri" w:hAnsi="Calibri"/>
          <w:bCs/>
        </w:rPr>
        <w:t>2024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70A01309" w:rsidR="0047426E" w:rsidRDefault="00D733C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  <w:r w:rsidR="00292F10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</w:rPr>
              <w:t>9</w:t>
            </w:r>
            <w:r w:rsidR="00B62AD2">
              <w:rPr>
                <w:rFonts w:ascii="Calibri" w:hAnsi="Calibri"/>
                <w:b/>
                <w:bCs/>
              </w:rPr>
              <w:t>/24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423E33A4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</w:t>
            </w:r>
            <w:r w:rsidR="007F62AA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Tuesday</w:t>
            </w:r>
            <w:r w:rsidR="008D608F">
              <w:rPr>
                <w:rFonts w:ascii="Calibri" w:hAnsi="Calibri"/>
              </w:rPr>
              <w:t xml:space="preserve"> </w:t>
            </w:r>
            <w:r w:rsidR="00710671">
              <w:rPr>
                <w:rFonts w:ascii="Calibri" w:hAnsi="Calibri"/>
              </w:rPr>
              <w:t>1</w:t>
            </w:r>
            <w:r w:rsidR="007B6B9C">
              <w:rPr>
                <w:rFonts w:ascii="Calibri" w:hAnsi="Calibri"/>
              </w:rPr>
              <w:t>5</w:t>
            </w:r>
            <w:r w:rsidR="00292F10">
              <w:rPr>
                <w:rFonts w:ascii="Calibri" w:hAnsi="Calibri"/>
              </w:rPr>
              <w:t xml:space="preserve"> Octo</w:t>
            </w:r>
            <w:r w:rsidR="00710671">
              <w:rPr>
                <w:rFonts w:ascii="Calibri" w:hAnsi="Calibri"/>
              </w:rPr>
              <w:t>ber</w:t>
            </w:r>
            <w:r w:rsidR="0009166A">
              <w:rPr>
                <w:rFonts w:ascii="Calibri" w:hAnsi="Calibri"/>
              </w:rPr>
              <w:t xml:space="preserve"> </w:t>
            </w:r>
            <w:r w:rsidR="007211CE">
              <w:rPr>
                <w:rFonts w:ascii="Calibri" w:hAnsi="Calibri"/>
              </w:rPr>
              <w:t>202</w:t>
            </w:r>
            <w:r w:rsidR="003D1004">
              <w:rPr>
                <w:rFonts w:ascii="Calibri" w:hAnsi="Calibri"/>
              </w:rPr>
              <w:t>4</w:t>
            </w:r>
          </w:p>
          <w:p w14:paraId="31D7CCF0" w14:textId="143E7969" w:rsidR="00842F19" w:rsidRPr="00D0527F" w:rsidRDefault="00972374" w:rsidP="00D0527F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26090660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4541E4D4" w14:textId="77777777" w:rsidR="002D7622" w:rsidRDefault="00D733C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92F10">
              <w:rPr>
                <w:rFonts w:ascii="Calibri" w:hAnsi="Calibri"/>
                <w:b/>
              </w:rPr>
              <w:t>30</w:t>
            </w:r>
            <w:r w:rsidR="00B62AD2">
              <w:rPr>
                <w:rFonts w:ascii="Calibri" w:hAnsi="Calibri"/>
                <w:b/>
              </w:rPr>
              <w:t>/24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Public Participation Section  </w:t>
            </w:r>
          </w:p>
          <w:p w14:paraId="3AD40ACC" w14:textId="04CA7431" w:rsidR="00D0527F" w:rsidRDefault="00D0527F" w:rsidP="0035308E">
            <w:pPr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051B0FCE" w:rsidR="002D7622" w:rsidRPr="00A74A6E" w:rsidRDefault="0067708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92F10">
              <w:rPr>
                <w:rFonts w:ascii="Calibri" w:hAnsi="Calibri"/>
                <w:b/>
              </w:rPr>
              <w:t>31</w:t>
            </w:r>
            <w:r w:rsidR="00B62AD2">
              <w:rPr>
                <w:rFonts w:ascii="Calibri" w:hAnsi="Calibri"/>
                <w:b/>
              </w:rPr>
              <w:t>/24</w:t>
            </w:r>
            <w:r w:rsidR="002D7622">
              <w:rPr>
                <w:rFonts w:ascii="Calibri" w:hAnsi="Calibri"/>
                <w:b/>
              </w:rPr>
              <w:t xml:space="preserve">. To receive following </w:t>
            </w:r>
            <w:r w:rsidR="002D7622"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BFC86EE" w14:textId="683F74ED" w:rsidR="008C691D" w:rsidRPr="0067708A" w:rsidRDefault="002D7622" w:rsidP="0067708A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7C501948" w14:textId="19BD2C84" w:rsidR="00842F19" w:rsidRPr="00842F19" w:rsidRDefault="00842F19" w:rsidP="00842F19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0207A744" w:rsidR="002D7622" w:rsidRPr="004573F6" w:rsidRDefault="0067708A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292F10">
              <w:rPr>
                <w:rFonts w:ascii="Calibri" w:hAnsi="Calibri"/>
                <w:b/>
              </w:rPr>
              <w:t>3</w:t>
            </w:r>
            <w:r w:rsidR="00D0527F">
              <w:rPr>
                <w:rFonts w:ascii="Calibri" w:hAnsi="Calibri"/>
                <w:b/>
              </w:rPr>
              <w:t>2</w:t>
            </w:r>
            <w:r w:rsidR="00B62AD2">
              <w:rPr>
                <w:rFonts w:ascii="Calibri" w:hAnsi="Calibri"/>
                <w:b/>
              </w:rPr>
              <w:t>/24</w:t>
            </w:r>
            <w:r w:rsidR="002D7622">
              <w:rPr>
                <w:rFonts w:ascii="Calibri" w:hAnsi="Calibri"/>
                <w:b/>
              </w:rPr>
              <w:t>.</w:t>
            </w:r>
            <w:r w:rsidR="002D7622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2D7622" w:rsidRPr="00A74A6E">
              <w:rPr>
                <w:rFonts w:ascii="Calibri" w:hAnsi="Calibri"/>
              </w:rPr>
              <w:t xml:space="preserve"> </w:t>
            </w:r>
          </w:p>
          <w:p w14:paraId="7ABF2C59" w14:textId="53308637" w:rsidR="002D7622" w:rsidRDefault="002D762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292F10">
              <w:rPr>
                <w:rFonts w:ascii="Calibri" w:hAnsi="Calibri"/>
              </w:rPr>
              <w:t>Octo</w:t>
            </w:r>
            <w:r w:rsidR="00710671">
              <w:rPr>
                <w:rFonts w:ascii="Calibri" w:hAnsi="Calibri"/>
              </w:rPr>
              <w:t>ber</w:t>
            </w:r>
            <w:r>
              <w:rPr>
                <w:rFonts w:ascii="Calibri" w:hAnsi="Calibri"/>
              </w:rPr>
              <w:t xml:space="preserve"> 202</w:t>
            </w:r>
            <w:r w:rsidR="00026D3D">
              <w:rPr>
                <w:rFonts w:ascii="Calibri" w:hAnsi="Calibri"/>
              </w:rPr>
              <w:t>4</w:t>
            </w:r>
          </w:p>
          <w:p w14:paraId="63CD2427" w14:textId="0DF9F9C3" w:rsidR="00D0527F" w:rsidRPr="009F4993" w:rsidRDefault="00D0527F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note annual increase in pay for Parish Clerk effective from 1 April 2024</w:t>
            </w:r>
          </w:p>
          <w:p w14:paraId="41E70243" w14:textId="2EB14334" w:rsidR="00965491" w:rsidRPr="00292F10" w:rsidRDefault="00D0527F" w:rsidP="00292F1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Confirm </w:t>
            </w:r>
            <w:r w:rsidR="002D7622" w:rsidRPr="00782227">
              <w:rPr>
                <w:rFonts w:ascii="Calibri" w:hAnsi="Calibri"/>
              </w:rPr>
              <w:t xml:space="preserve">Payments to be </w:t>
            </w:r>
            <w:r w:rsidR="00B90F81">
              <w:rPr>
                <w:rFonts w:ascii="Calibri" w:hAnsi="Calibri"/>
              </w:rPr>
              <w:t>authorised</w:t>
            </w:r>
            <w:r w:rsidR="002D7622">
              <w:rPr>
                <w:rFonts w:ascii="Calibri" w:hAnsi="Calibri"/>
              </w:rPr>
              <w:t>.</w:t>
            </w:r>
            <w:r w:rsidR="002D7622" w:rsidRPr="00E21E5D">
              <w:rPr>
                <w:rFonts w:ascii="Calibri" w:hAnsi="Calibri"/>
              </w:rPr>
              <w:t xml:space="preserve"> </w:t>
            </w:r>
          </w:p>
          <w:p w14:paraId="660F4895" w14:textId="77777777" w:rsidR="00710671" w:rsidRDefault="00710671" w:rsidP="00D733C0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and note quarterly internal control report</w:t>
            </w:r>
          </w:p>
          <w:p w14:paraId="31D7CD1A" w14:textId="6FCAED32" w:rsidR="00710671" w:rsidRPr="00D733C0" w:rsidRDefault="00710671" w:rsidP="00710671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2CC96912" w:rsidR="002D7622" w:rsidRDefault="0067708A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92F10">
              <w:rPr>
                <w:b/>
                <w:sz w:val="24"/>
                <w:szCs w:val="24"/>
              </w:rPr>
              <w:t>3</w:t>
            </w:r>
            <w:r w:rsidR="00D0527F">
              <w:rPr>
                <w:b/>
                <w:sz w:val="24"/>
                <w:szCs w:val="24"/>
              </w:rPr>
              <w:t>3</w:t>
            </w:r>
            <w:r w:rsidR="00B62AD2">
              <w:rPr>
                <w:b/>
                <w:sz w:val="24"/>
                <w:szCs w:val="24"/>
              </w:rPr>
              <w:t>/24</w:t>
            </w:r>
            <w:r w:rsidR="002D7622"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19AC489B" w14:textId="77777777" w:rsidR="002D7622" w:rsidRPr="00B535BC" w:rsidRDefault="002D7622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38186542" w14:textId="161D5ADD" w:rsidR="0067708A" w:rsidRPr="00710671" w:rsidRDefault="002D7622" w:rsidP="00710671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31D7CD24" w14:textId="559C4E72" w:rsidR="0067708A" w:rsidRPr="0067708A" w:rsidRDefault="0067708A" w:rsidP="0067708A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4A108830" w14:textId="77777777" w:rsidTr="00852C1B">
        <w:tc>
          <w:tcPr>
            <w:tcW w:w="8506" w:type="dxa"/>
          </w:tcPr>
          <w:p w14:paraId="6E8D0D34" w14:textId="71A7AE1D" w:rsidR="00D733C0" w:rsidRPr="00292F10" w:rsidRDefault="0067708A" w:rsidP="00292F10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92F10">
              <w:rPr>
                <w:b/>
                <w:sz w:val="24"/>
                <w:szCs w:val="24"/>
              </w:rPr>
              <w:t>3</w:t>
            </w:r>
            <w:r w:rsidR="00D0527F">
              <w:rPr>
                <w:b/>
                <w:sz w:val="24"/>
                <w:szCs w:val="24"/>
              </w:rPr>
              <w:t>4</w:t>
            </w:r>
            <w:r w:rsidR="00B62AD2">
              <w:rPr>
                <w:b/>
                <w:sz w:val="24"/>
                <w:szCs w:val="24"/>
              </w:rPr>
              <w:t>/24</w:t>
            </w:r>
            <w:r w:rsidR="002D7622">
              <w:rPr>
                <w:b/>
                <w:sz w:val="24"/>
                <w:szCs w:val="24"/>
              </w:rPr>
              <w:t xml:space="preserve"> To receive the Clerk’s Report</w:t>
            </w:r>
          </w:p>
          <w:p w14:paraId="5E712A74" w14:textId="77777777" w:rsidR="00842F19" w:rsidRDefault="008B0BB6" w:rsidP="00842F19">
            <w:pPr>
              <w:pStyle w:val="PlainText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Business cards for Councillors</w:t>
            </w:r>
          </w:p>
          <w:p w14:paraId="49435045" w14:textId="06E4E905" w:rsidR="00D0527F" w:rsidRPr="008B0BB6" w:rsidRDefault="00D0527F" w:rsidP="00D0527F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6B3657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92F10" w14:paraId="731A69C0" w14:textId="77777777" w:rsidTr="00852C1B">
        <w:tc>
          <w:tcPr>
            <w:tcW w:w="8506" w:type="dxa"/>
          </w:tcPr>
          <w:p w14:paraId="678BD7E4" w14:textId="5E7870D6" w:rsidR="00292F10" w:rsidRDefault="00292F10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D0527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/24. To Receive Correspondence &amp; Communications </w:t>
            </w:r>
          </w:p>
          <w:p w14:paraId="67F0EE9E" w14:textId="07048F36" w:rsidR="00292F10" w:rsidRPr="00D0527F" w:rsidRDefault="00D0527F" w:rsidP="00D0527F">
            <w:pPr>
              <w:pStyle w:val="PlainText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Retention of mould for Village Sign – Carol Hogg</w:t>
            </w:r>
          </w:p>
        </w:tc>
        <w:tc>
          <w:tcPr>
            <w:tcW w:w="992" w:type="dxa"/>
          </w:tcPr>
          <w:p w14:paraId="20FF0974" w14:textId="77777777" w:rsidR="00292F10" w:rsidRPr="00BD7DCD" w:rsidRDefault="00292F10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4DDB4630" w:rsidR="002D7622" w:rsidRPr="00E21E5D" w:rsidRDefault="0067708A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292F10">
              <w:rPr>
                <w:b/>
                <w:sz w:val="24"/>
                <w:szCs w:val="24"/>
              </w:rPr>
              <w:t>3</w:t>
            </w:r>
            <w:r w:rsidR="00D0527F">
              <w:rPr>
                <w:b/>
                <w:sz w:val="24"/>
                <w:szCs w:val="24"/>
              </w:rPr>
              <w:t>6</w:t>
            </w:r>
            <w:r w:rsidR="00B62AD2">
              <w:rPr>
                <w:b/>
                <w:sz w:val="24"/>
                <w:szCs w:val="24"/>
              </w:rPr>
              <w:t>/24</w:t>
            </w:r>
            <w:r w:rsidR="002D7622" w:rsidRPr="006371A2">
              <w:rPr>
                <w:b/>
                <w:sz w:val="24"/>
                <w:szCs w:val="24"/>
              </w:rPr>
              <w:t xml:space="preserve">. </w:t>
            </w:r>
            <w:r w:rsidR="002D7622"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66D9E56F" w14:textId="0C2B8F1D" w:rsidR="0067708A" w:rsidRPr="00710671" w:rsidRDefault="002D7622" w:rsidP="00710671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4EBD3A5C" w14:textId="7231E782" w:rsidR="00173130" w:rsidRDefault="00710671" w:rsidP="0067708A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Update on </w:t>
            </w:r>
            <w:r w:rsidR="00173130">
              <w:rPr>
                <w:rFonts w:cs="Arial"/>
                <w:bCs/>
                <w:color w:val="000000"/>
                <w:sz w:val="24"/>
                <w:szCs w:val="24"/>
              </w:rPr>
              <w:t xml:space="preserve">Fire Breaks </w:t>
            </w:r>
            <w:proofErr w:type="spellStart"/>
            <w:r w:rsidR="00173130">
              <w:rPr>
                <w:rFonts w:cs="Arial"/>
                <w:bCs/>
                <w:color w:val="000000"/>
                <w:sz w:val="24"/>
                <w:szCs w:val="24"/>
              </w:rPr>
              <w:t>Brackmills</w:t>
            </w:r>
            <w:proofErr w:type="spellEnd"/>
            <w:r w:rsidR="00173130">
              <w:rPr>
                <w:rFonts w:cs="Arial"/>
                <w:bCs/>
                <w:color w:val="000000"/>
                <w:sz w:val="24"/>
                <w:szCs w:val="24"/>
              </w:rPr>
              <w:t xml:space="preserve"> Wood</w:t>
            </w:r>
          </w:p>
          <w:p w14:paraId="21895FD9" w14:textId="55D4FF8C" w:rsidR="00710671" w:rsidRPr="0067708A" w:rsidRDefault="00710671" w:rsidP="0067708A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receive a</w:t>
            </w:r>
            <w:r w:rsidR="00292F10">
              <w:rPr>
                <w:rFonts w:cs="Arial"/>
                <w:bCs/>
                <w:color w:val="000000"/>
                <w:sz w:val="24"/>
                <w:szCs w:val="24"/>
              </w:rPr>
              <w:t>nd note Speed Activated Traffic Rep</w:t>
            </w:r>
            <w:r w:rsidR="00D0527F">
              <w:rPr>
                <w:rFonts w:cs="Arial"/>
                <w:bCs/>
                <w:color w:val="000000"/>
                <w:sz w:val="24"/>
                <w:szCs w:val="24"/>
              </w:rPr>
              <w:t>o</w:t>
            </w:r>
            <w:r w:rsidR="00292F10">
              <w:rPr>
                <w:rFonts w:cs="Arial"/>
                <w:bCs/>
                <w:color w:val="000000"/>
                <w:sz w:val="24"/>
                <w:szCs w:val="24"/>
              </w:rPr>
              <w:t>rt</w:t>
            </w:r>
          </w:p>
          <w:p w14:paraId="3B04BF44" w14:textId="6869EE7D" w:rsidR="003F6E0C" w:rsidRPr="003F6E0C" w:rsidRDefault="003F6E0C" w:rsidP="0067708A">
            <w:pPr>
              <w:pStyle w:val="PlainText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F43BFF" w14:paraId="2473148C" w14:textId="77777777" w:rsidTr="00852C1B">
        <w:tc>
          <w:tcPr>
            <w:tcW w:w="8506" w:type="dxa"/>
          </w:tcPr>
          <w:p w14:paraId="466BE1C1" w14:textId="77777777" w:rsidR="00F43BFF" w:rsidRDefault="00F43BFF" w:rsidP="00E21E5D">
            <w:pPr>
              <w:pStyle w:val="PlainTex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437/24. To consider </w:t>
            </w:r>
            <w:r>
              <w:rPr>
                <w:b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F43BF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Remembrance Day poppy soldier for the village</w:t>
            </w:r>
          </w:p>
          <w:p w14:paraId="0B404667" w14:textId="34D8E68F" w:rsidR="00F43BFF" w:rsidRDefault="00F43BFF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BD98FEC" w14:textId="77777777" w:rsidR="00F43BFF" w:rsidRPr="00BD7DCD" w:rsidRDefault="00F43BFF" w:rsidP="00BD7DCD">
            <w:pPr>
              <w:rPr>
                <w:rFonts w:ascii="Calibri" w:hAnsi="Calibri"/>
                <w:bCs/>
              </w:rPr>
            </w:pPr>
          </w:p>
        </w:tc>
      </w:tr>
      <w:tr w:rsidR="00F04461" w14:paraId="1585C475" w14:textId="77777777" w:rsidTr="00852C1B">
        <w:tc>
          <w:tcPr>
            <w:tcW w:w="8506" w:type="dxa"/>
          </w:tcPr>
          <w:p w14:paraId="266383D4" w14:textId="7BAEC6F9" w:rsidR="00F04461" w:rsidRDefault="0067708A" w:rsidP="00E21E5D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92F10">
              <w:rPr>
                <w:b/>
                <w:sz w:val="24"/>
                <w:szCs w:val="24"/>
              </w:rPr>
              <w:t>3</w:t>
            </w:r>
            <w:r w:rsidR="00F43BFF">
              <w:rPr>
                <w:b/>
                <w:sz w:val="24"/>
                <w:szCs w:val="24"/>
              </w:rPr>
              <w:t>8</w:t>
            </w:r>
            <w:r w:rsidR="00F04461">
              <w:rPr>
                <w:b/>
                <w:sz w:val="24"/>
                <w:szCs w:val="24"/>
              </w:rPr>
              <w:t xml:space="preserve">/24. To consider environmental &amp; Biodiversity Matters </w:t>
            </w:r>
          </w:p>
          <w:p w14:paraId="3E077085" w14:textId="6903B703" w:rsidR="00F04461" w:rsidRDefault="00F04461" w:rsidP="00E21E5D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747A54" w14:textId="77777777" w:rsidR="00F04461" w:rsidRPr="00BD7DCD" w:rsidRDefault="00F04461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3B143343" w14:textId="5044E747" w:rsidR="002D7622" w:rsidRDefault="0067708A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  <w:r w:rsidR="00292F10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F43BF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  <w:r w:rsidR="00B62AD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/24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2D7622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2D762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777A8342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58049B5F" w14:textId="5AB9C712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294"/>
        <w:gridCol w:w="3005"/>
        <w:gridCol w:w="3199"/>
      </w:tblGrid>
      <w:tr w:rsidR="00D0527F" w14:paraId="7CC5D40A" w14:textId="77777777" w:rsidTr="00D0527F">
        <w:tc>
          <w:tcPr>
            <w:tcW w:w="3294" w:type="dxa"/>
          </w:tcPr>
          <w:p w14:paraId="3D34A226" w14:textId="7F2FF7C2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1</w:t>
            </w:r>
            <w:r w:rsidR="007B6B9C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October 24</w:t>
            </w:r>
          </w:p>
        </w:tc>
        <w:tc>
          <w:tcPr>
            <w:tcW w:w="3005" w:type="dxa"/>
          </w:tcPr>
          <w:p w14:paraId="273D5576" w14:textId="426628DD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October 24</w:t>
            </w:r>
          </w:p>
        </w:tc>
        <w:tc>
          <w:tcPr>
            <w:tcW w:w="3199" w:type="dxa"/>
          </w:tcPr>
          <w:p w14:paraId="7704588B" w14:textId="26380FE7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</w:tr>
      <w:tr w:rsidR="00D0527F" w14:paraId="46319E17" w14:textId="77777777" w:rsidTr="00D0527F">
        <w:tc>
          <w:tcPr>
            <w:tcW w:w="3294" w:type="dxa"/>
          </w:tcPr>
          <w:p w14:paraId="4C64741A" w14:textId="4417BAFD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  <w:tc>
          <w:tcPr>
            <w:tcW w:w="3005" w:type="dxa"/>
          </w:tcPr>
          <w:p w14:paraId="44C6D5A6" w14:textId="1372C86B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Internal Control Report</w:t>
            </w:r>
          </w:p>
        </w:tc>
        <w:tc>
          <w:tcPr>
            <w:tcW w:w="3199" w:type="dxa"/>
          </w:tcPr>
          <w:p w14:paraId="1AFF10BB" w14:textId="3962841B" w:rsidR="00D0527F" w:rsidRDefault="00EE5E0A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Speed Activated Traffic Report</w:t>
            </w:r>
          </w:p>
        </w:tc>
      </w:tr>
    </w:tbl>
    <w:p w14:paraId="1EE66CA8" w14:textId="77777777" w:rsidR="00D0527F" w:rsidRDefault="00D0527F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D0527F" w:rsidSect="00506B3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E384D"/>
    <w:multiLevelType w:val="hybridMultilevel"/>
    <w:tmpl w:val="3B8CE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77C47"/>
    <w:multiLevelType w:val="hybridMultilevel"/>
    <w:tmpl w:val="7590B8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D4EA9"/>
    <w:multiLevelType w:val="hybridMultilevel"/>
    <w:tmpl w:val="01DE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3"/>
  </w:num>
  <w:num w:numId="2" w16cid:durableId="791171404">
    <w:abstractNumId w:val="9"/>
  </w:num>
  <w:num w:numId="3" w16cid:durableId="1060709352">
    <w:abstractNumId w:val="1"/>
  </w:num>
  <w:num w:numId="4" w16cid:durableId="2051301103">
    <w:abstractNumId w:val="7"/>
  </w:num>
  <w:num w:numId="5" w16cid:durableId="130831913">
    <w:abstractNumId w:val="2"/>
  </w:num>
  <w:num w:numId="6" w16cid:durableId="567611693">
    <w:abstractNumId w:val="4"/>
  </w:num>
  <w:num w:numId="7" w16cid:durableId="685327138">
    <w:abstractNumId w:val="5"/>
  </w:num>
  <w:num w:numId="8" w16cid:durableId="18239687">
    <w:abstractNumId w:val="0"/>
  </w:num>
  <w:num w:numId="9" w16cid:durableId="899946178">
    <w:abstractNumId w:val="6"/>
  </w:num>
  <w:num w:numId="10" w16cid:durableId="42372128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805AF"/>
    <w:rsid w:val="00085387"/>
    <w:rsid w:val="0009166A"/>
    <w:rsid w:val="00094DEC"/>
    <w:rsid w:val="00094FD5"/>
    <w:rsid w:val="000B02C7"/>
    <w:rsid w:val="000B075A"/>
    <w:rsid w:val="000B2283"/>
    <w:rsid w:val="000B5566"/>
    <w:rsid w:val="000B642B"/>
    <w:rsid w:val="000C1A5D"/>
    <w:rsid w:val="000D49E3"/>
    <w:rsid w:val="000E356B"/>
    <w:rsid w:val="000F0E45"/>
    <w:rsid w:val="000F148B"/>
    <w:rsid w:val="00112A72"/>
    <w:rsid w:val="00130E10"/>
    <w:rsid w:val="001310F1"/>
    <w:rsid w:val="00140C4E"/>
    <w:rsid w:val="00152251"/>
    <w:rsid w:val="00173130"/>
    <w:rsid w:val="001756A1"/>
    <w:rsid w:val="00177E8D"/>
    <w:rsid w:val="00184FBE"/>
    <w:rsid w:val="00194545"/>
    <w:rsid w:val="001A7929"/>
    <w:rsid w:val="001C4680"/>
    <w:rsid w:val="001D0177"/>
    <w:rsid w:val="001D2D2C"/>
    <w:rsid w:val="001E0813"/>
    <w:rsid w:val="001E1B9A"/>
    <w:rsid w:val="001E5452"/>
    <w:rsid w:val="001E551D"/>
    <w:rsid w:val="001F09A2"/>
    <w:rsid w:val="001F71BE"/>
    <w:rsid w:val="0020339A"/>
    <w:rsid w:val="0020625E"/>
    <w:rsid w:val="00211677"/>
    <w:rsid w:val="00242E58"/>
    <w:rsid w:val="00257167"/>
    <w:rsid w:val="0026092E"/>
    <w:rsid w:val="00262FDF"/>
    <w:rsid w:val="00280217"/>
    <w:rsid w:val="00286E3D"/>
    <w:rsid w:val="00292F10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3151D6"/>
    <w:rsid w:val="00317A02"/>
    <w:rsid w:val="003226BD"/>
    <w:rsid w:val="003230D5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876BE"/>
    <w:rsid w:val="00390EAA"/>
    <w:rsid w:val="003960C3"/>
    <w:rsid w:val="00396321"/>
    <w:rsid w:val="003A3AA1"/>
    <w:rsid w:val="003B2ACE"/>
    <w:rsid w:val="003B554E"/>
    <w:rsid w:val="003B65D9"/>
    <w:rsid w:val="003B7E6C"/>
    <w:rsid w:val="003C3EB1"/>
    <w:rsid w:val="003D1004"/>
    <w:rsid w:val="003D11E3"/>
    <w:rsid w:val="003D7A3E"/>
    <w:rsid w:val="003E3E98"/>
    <w:rsid w:val="003F2BDC"/>
    <w:rsid w:val="003F6E0C"/>
    <w:rsid w:val="00414796"/>
    <w:rsid w:val="00425825"/>
    <w:rsid w:val="00426C4A"/>
    <w:rsid w:val="00432D4C"/>
    <w:rsid w:val="004445C0"/>
    <w:rsid w:val="004455C4"/>
    <w:rsid w:val="00445A3D"/>
    <w:rsid w:val="00446D41"/>
    <w:rsid w:val="00451542"/>
    <w:rsid w:val="00453E74"/>
    <w:rsid w:val="004573F6"/>
    <w:rsid w:val="00466209"/>
    <w:rsid w:val="00471BA0"/>
    <w:rsid w:val="004741D5"/>
    <w:rsid w:val="0047426E"/>
    <w:rsid w:val="0049230C"/>
    <w:rsid w:val="004A67B2"/>
    <w:rsid w:val="004B0C1E"/>
    <w:rsid w:val="004D0312"/>
    <w:rsid w:val="004D67EA"/>
    <w:rsid w:val="0050026D"/>
    <w:rsid w:val="00500364"/>
    <w:rsid w:val="00506B30"/>
    <w:rsid w:val="00510596"/>
    <w:rsid w:val="005128BF"/>
    <w:rsid w:val="00514AD3"/>
    <w:rsid w:val="00520475"/>
    <w:rsid w:val="00524207"/>
    <w:rsid w:val="0053230E"/>
    <w:rsid w:val="00536AC7"/>
    <w:rsid w:val="00541BDD"/>
    <w:rsid w:val="00543452"/>
    <w:rsid w:val="00547013"/>
    <w:rsid w:val="005554A8"/>
    <w:rsid w:val="0057153E"/>
    <w:rsid w:val="0057252D"/>
    <w:rsid w:val="00582CCE"/>
    <w:rsid w:val="00583D0E"/>
    <w:rsid w:val="005848DA"/>
    <w:rsid w:val="00590503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D00F8"/>
    <w:rsid w:val="005E3D57"/>
    <w:rsid w:val="005E5BFB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08A"/>
    <w:rsid w:val="00677634"/>
    <w:rsid w:val="00680BA1"/>
    <w:rsid w:val="006811BB"/>
    <w:rsid w:val="0068568F"/>
    <w:rsid w:val="00697EE7"/>
    <w:rsid w:val="006A70A7"/>
    <w:rsid w:val="006B2F0E"/>
    <w:rsid w:val="006C3AB8"/>
    <w:rsid w:val="006D2C29"/>
    <w:rsid w:val="006E04F3"/>
    <w:rsid w:val="006E2B9F"/>
    <w:rsid w:val="006E5E86"/>
    <w:rsid w:val="006E651A"/>
    <w:rsid w:val="006F0F20"/>
    <w:rsid w:val="006F5D9A"/>
    <w:rsid w:val="00701C2B"/>
    <w:rsid w:val="0070267E"/>
    <w:rsid w:val="00710671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B6B9C"/>
    <w:rsid w:val="007C2B1C"/>
    <w:rsid w:val="007C4E1A"/>
    <w:rsid w:val="007C58C3"/>
    <w:rsid w:val="007D42D9"/>
    <w:rsid w:val="007D6608"/>
    <w:rsid w:val="007E23C9"/>
    <w:rsid w:val="007E5771"/>
    <w:rsid w:val="007F4DC3"/>
    <w:rsid w:val="007F62AA"/>
    <w:rsid w:val="00801792"/>
    <w:rsid w:val="008043A8"/>
    <w:rsid w:val="00811E3D"/>
    <w:rsid w:val="00823766"/>
    <w:rsid w:val="0082500A"/>
    <w:rsid w:val="00825800"/>
    <w:rsid w:val="00826510"/>
    <w:rsid w:val="00827358"/>
    <w:rsid w:val="008415F9"/>
    <w:rsid w:val="00842F19"/>
    <w:rsid w:val="00850197"/>
    <w:rsid w:val="008509A8"/>
    <w:rsid w:val="00852C1B"/>
    <w:rsid w:val="00853C64"/>
    <w:rsid w:val="008569F0"/>
    <w:rsid w:val="0088505B"/>
    <w:rsid w:val="00894FE9"/>
    <w:rsid w:val="008A1E25"/>
    <w:rsid w:val="008A60F8"/>
    <w:rsid w:val="008B0BB6"/>
    <w:rsid w:val="008C691D"/>
    <w:rsid w:val="008D00C5"/>
    <w:rsid w:val="008D5442"/>
    <w:rsid w:val="008D608F"/>
    <w:rsid w:val="008E0B61"/>
    <w:rsid w:val="008E5B2D"/>
    <w:rsid w:val="008E7606"/>
    <w:rsid w:val="008F422D"/>
    <w:rsid w:val="009202DE"/>
    <w:rsid w:val="009234B2"/>
    <w:rsid w:val="00946653"/>
    <w:rsid w:val="00946987"/>
    <w:rsid w:val="00955942"/>
    <w:rsid w:val="00960DD0"/>
    <w:rsid w:val="0096147D"/>
    <w:rsid w:val="009616A5"/>
    <w:rsid w:val="00962ACD"/>
    <w:rsid w:val="00962E2F"/>
    <w:rsid w:val="009648F3"/>
    <w:rsid w:val="00965491"/>
    <w:rsid w:val="00970CE5"/>
    <w:rsid w:val="00971686"/>
    <w:rsid w:val="00972374"/>
    <w:rsid w:val="00972682"/>
    <w:rsid w:val="00973AA0"/>
    <w:rsid w:val="00986671"/>
    <w:rsid w:val="00995220"/>
    <w:rsid w:val="0099589C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017D"/>
    <w:rsid w:val="00A01B19"/>
    <w:rsid w:val="00A05A06"/>
    <w:rsid w:val="00A14074"/>
    <w:rsid w:val="00A2535C"/>
    <w:rsid w:val="00A303E6"/>
    <w:rsid w:val="00A30C0F"/>
    <w:rsid w:val="00A45653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34F7"/>
    <w:rsid w:val="00AC48FE"/>
    <w:rsid w:val="00AC5761"/>
    <w:rsid w:val="00AC69EE"/>
    <w:rsid w:val="00AD40EB"/>
    <w:rsid w:val="00AD4747"/>
    <w:rsid w:val="00AE07FA"/>
    <w:rsid w:val="00AE09C4"/>
    <w:rsid w:val="00AF66D1"/>
    <w:rsid w:val="00B013C4"/>
    <w:rsid w:val="00B01566"/>
    <w:rsid w:val="00B0365C"/>
    <w:rsid w:val="00B15814"/>
    <w:rsid w:val="00B16860"/>
    <w:rsid w:val="00B22A65"/>
    <w:rsid w:val="00B26280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0F81"/>
    <w:rsid w:val="00B96C37"/>
    <w:rsid w:val="00BA02B4"/>
    <w:rsid w:val="00BA3E38"/>
    <w:rsid w:val="00BC0903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77F49"/>
    <w:rsid w:val="00C91011"/>
    <w:rsid w:val="00C92F25"/>
    <w:rsid w:val="00C93ADC"/>
    <w:rsid w:val="00C9417C"/>
    <w:rsid w:val="00CA0150"/>
    <w:rsid w:val="00CA3ED9"/>
    <w:rsid w:val="00CB0A9C"/>
    <w:rsid w:val="00CB71F6"/>
    <w:rsid w:val="00CC19E1"/>
    <w:rsid w:val="00CD1CF6"/>
    <w:rsid w:val="00CD4A2F"/>
    <w:rsid w:val="00CD4B25"/>
    <w:rsid w:val="00CE11B8"/>
    <w:rsid w:val="00CF5B33"/>
    <w:rsid w:val="00D01343"/>
    <w:rsid w:val="00D0474B"/>
    <w:rsid w:val="00D0527F"/>
    <w:rsid w:val="00D12292"/>
    <w:rsid w:val="00D145DC"/>
    <w:rsid w:val="00D2095A"/>
    <w:rsid w:val="00D26A3C"/>
    <w:rsid w:val="00D334B1"/>
    <w:rsid w:val="00D42985"/>
    <w:rsid w:val="00D45E8C"/>
    <w:rsid w:val="00D55868"/>
    <w:rsid w:val="00D565CF"/>
    <w:rsid w:val="00D57053"/>
    <w:rsid w:val="00D730BF"/>
    <w:rsid w:val="00D733C0"/>
    <w:rsid w:val="00D74623"/>
    <w:rsid w:val="00D76616"/>
    <w:rsid w:val="00D87F79"/>
    <w:rsid w:val="00D9155E"/>
    <w:rsid w:val="00D960CF"/>
    <w:rsid w:val="00DA118B"/>
    <w:rsid w:val="00DB74AF"/>
    <w:rsid w:val="00DD729D"/>
    <w:rsid w:val="00DE0176"/>
    <w:rsid w:val="00DE26E5"/>
    <w:rsid w:val="00DE312C"/>
    <w:rsid w:val="00DE617F"/>
    <w:rsid w:val="00DF0865"/>
    <w:rsid w:val="00DF1B31"/>
    <w:rsid w:val="00E105E9"/>
    <w:rsid w:val="00E123A9"/>
    <w:rsid w:val="00E12B1C"/>
    <w:rsid w:val="00E21E5D"/>
    <w:rsid w:val="00E258DD"/>
    <w:rsid w:val="00E308FC"/>
    <w:rsid w:val="00E32C19"/>
    <w:rsid w:val="00E4148A"/>
    <w:rsid w:val="00E5624F"/>
    <w:rsid w:val="00E66827"/>
    <w:rsid w:val="00E73181"/>
    <w:rsid w:val="00E752B4"/>
    <w:rsid w:val="00E76487"/>
    <w:rsid w:val="00E94BD2"/>
    <w:rsid w:val="00E9653C"/>
    <w:rsid w:val="00EB355A"/>
    <w:rsid w:val="00EB47E0"/>
    <w:rsid w:val="00EC2719"/>
    <w:rsid w:val="00ED7148"/>
    <w:rsid w:val="00EE2C93"/>
    <w:rsid w:val="00EE5E0A"/>
    <w:rsid w:val="00EF2433"/>
    <w:rsid w:val="00EF281E"/>
    <w:rsid w:val="00F03A3A"/>
    <w:rsid w:val="00F04461"/>
    <w:rsid w:val="00F125C8"/>
    <w:rsid w:val="00F210DA"/>
    <w:rsid w:val="00F21A40"/>
    <w:rsid w:val="00F257AE"/>
    <w:rsid w:val="00F3162F"/>
    <w:rsid w:val="00F34B1B"/>
    <w:rsid w:val="00F35279"/>
    <w:rsid w:val="00F42FBB"/>
    <w:rsid w:val="00F43BFF"/>
    <w:rsid w:val="00F54B15"/>
    <w:rsid w:val="00F65341"/>
    <w:rsid w:val="00F73CE5"/>
    <w:rsid w:val="00F94AD3"/>
    <w:rsid w:val="00F9624D"/>
    <w:rsid w:val="00FA2AE0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7</TotalTime>
  <Pages>2</Pages>
  <Words>373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2412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5</cp:revision>
  <cp:lastPrinted>2024-11-13T19:04:00Z</cp:lastPrinted>
  <dcterms:created xsi:type="dcterms:W3CDTF">2024-11-07T19:36:00Z</dcterms:created>
  <dcterms:modified xsi:type="dcterms:W3CDTF">2024-11-13T19:09:00Z</dcterms:modified>
</cp:coreProperties>
</file>